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C014E" w14:textId="41C79C4F" w:rsidR="00084C53" w:rsidRDefault="00FE7BC2" w:rsidP="00FE7BC2">
      <w:pPr>
        <w:pStyle w:val="a"/>
        <w:ind w:left="8160" w:right="236" w:hangingChars="3400" w:hanging="8160"/>
        <w:jc w:val="center"/>
        <w:rPr>
          <w:spacing w:val="0"/>
          <w:sz w:val="24"/>
          <w:szCs w:val="28"/>
        </w:rPr>
      </w:pPr>
      <w:r w:rsidRPr="00FE7BC2">
        <w:rPr>
          <w:spacing w:val="0"/>
          <w:sz w:val="24"/>
          <w:szCs w:val="28"/>
        </w:rPr>
        <w:t xml:space="preserve">Institute of Light Metals (ILM) Joint Usage/Research Grant </w:t>
      </w:r>
      <w:r>
        <w:rPr>
          <w:spacing w:val="0"/>
          <w:sz w:val="24"/>
          <w:szCs w:val="28"/>
        </w:rPr>
        <w:t xml:space="preserve">Report </w:t>
      </w:r>
      <w:r w:rsidRPr="00FE7BC2">
        <w:rPr>
          <w:spacing w:val="0"/>
          <w:sz w:val="24"/>
          <w:szCs w:val="28"/>
        </w:rPr>
        <w:t>in FY 202</w:t>
      </w:r>
      <w:r w:rsidR="00F757B9">
        <w:rPr>
          <w:rFonts w:hint="eastAsia"/>
          <w:spacing w:val="0"/>
          <w:sz w:val="24"/>
          <w:szCs w:val="28"/>
        </w:rPr>
        <w:t>5</w:t>
      </w:r>
    </w:p>
    <w:p w14:paraId="004AC443" w14:textId="53D9750B" w:rsidR="00084C53" w:rsidRDefault="006D49C0" w:rsidP="00281E94">
      <w:pPr>
        <w:pStyle w:val="a"/>
        <w:ind w:left="7140" w:hangingChars="3400" w:hanging="7140"/>
        <w:jc w:val="right"/>
        <w:rPr>
          <w:spacing w:val="0"/>
          <w:sz w:val="21"/>
          <w:szCs w:val="21"/>
        </w:rPr>
      </w:pPr>
      <w:r>
        <w:rPr>
          <w:rFonts w:hint="eastAsia"/>
          <w:spacing w:val="0"/>
          <w:sz w:val="21"/>
          <w:szCs w:val="21"/>
        </w:rPr>
        <w:t>202</w:t>
      </w:r>
      <w:r w:rsidR="00F757B9">
        <w:rPr>
          <w:rFonts w:hint="eastAsia"/>
          <w:spacing w:val="0"/>
          <w:sz w:val="21"/>
          <w:szCs w:val="21"/>
        </w:rPr>
        <w:t>6</w:t>
      </w:r>
      <w:r w:rsidR="00636A92">
        <w:rPr>
          <w:rFonts w:hint="eastAsia"/>
          <w:spacing w:val="0"/>
          <w:sz w:val="21"/>
          <w:szCs w:val="21"/>
        </w:rPr>
        <w:t>/</w:t>
      </w:r>
      <w:r w:rsidR="00636A92">
        <w:rPr>
          <w:spacing w:val="0"/>
          <w:sz w:val="21"/>
          <w:szCs w:val="21"/>
        </w:rPr>
        <w:t>MM/DD</w:t>
      </w:r>
    </w:p>
    <w:tbl>
      <w:tblPr>
        <w:tblW w:w="94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864"/>
        <w:gridCol w:w="396"/>
        <w:gridCol w:w="1134"/>
        <w:gridCol w:w="2257"/>
        <w:gridCol w:w="574"/>
        <w:gridCol w:w="3213"/>
      </w:tblGrid>
      <w:tr w:rsidR="005927ED" w:rsidRPr="00E11E3A" w14:paraId="108301A6" w14:textId="77777777" w:rsidTr="00BC052A">
        <w:trPr>
          <w:trHeight w:val="143"/>
          <w:jc w:val="center"/>
        </w:trPr>
        <w:tc>
          <w:tcPr>
            <w:tcW w:w="2253" w:type="dxa"/>
            <w:gridSpan w:val="2"/>
            <w:vMerge w:val="restart"/>
            <w:tcBorders>
              <w:right w:val="single" w:sz="4" w:space="0" w:color="auto"/>
            </w:tcBorders>
            <w:vAlign w:val="center"/>
          </w:tcPr>
          <w:p w14:paraId="6FC3F729" w14:textId="43A7032F" w:rsidR="005927ED"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Principal investigator</w:t>
            </w:r>
          </w:p>
        </w:tc>
        <w:tc>
          <w:tcPr>
            <w:tcW w:w="1134" w:type="dxa"/>
            <w:tcBorders>
              <w:left w:val="single" w:sz="4" w:space="0" w:color="auto"/>
              <w:bottom w:val="dashSmallGap" w:sz="4" w:space="0" w:color="000000"/>
              <w:right w:val="single" w:sz="4" w:space="0" w:color="000000"/>
            </w:tcBorders>
          </w:tcPr>
          <w:p w14:paraId="4BEDE112" w14:textId="2054C79D"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left w:val="single" w:sz="4" w:space="0" w:color="000000"/>
              <w:bottom w:val="dashSmallGap" w:sz="4" w:space="0" w:color="000000"/>
              <w:right w:val="single" w:sz="12" w:space="0" w:color="auto"/>
            </w:tcBorders>
          </w:tcPr>
          <w:p w14:paraId="346136E0" w14:textId="37AC29AE" w:rsidR="005927ED" w:rsidRPr="005D16C3" w:rsidRDefault="005D16C3" w:rsidP="005D16C3">
            <w:pPr>
              <w:spacing w:line="284" w:lineRule="atLeast"/>
              <w:rPr>
                <w:rFonts w:ascii="MS PMincho" w:eastAsia="MS PMincho" w:hAnsi="MS PMincho"/>
              </w:rPr>
            </w:pPr>
            <w:r>
              <w:rPr>
                <w:rFonts w:ascii="MS PMincho" w:eastAsia="MS PMincho" w:hAnsi="MS PMincho"/>
              </w:rPr>
              <w:t>Department of Materials Physics, Eötvös Loránd University, Budapest, Hungary</w:t>
            </w:r>
          </w:p>
        </w:tc>
      </w:tr>
      <w:tr w:rsidR="005927ED" w:rsidRPr="00E11E3A" w14:paraId="616460AC" w14:textId="77777777" w:rsidTr="00BC052A">
        <w:trPr>
          <w:trHeight w:val="142"/>
          <w:jc w:val="center"/>
        </w:trPr>
        <w:tc>
          <w:tcPr>
            <w:tcW w:w="2253" w:type="dxa"/>
            <w:gridSpan w:val="2"/>
            <w:vMerge/>
            <w:tcBorders>
              <w:right w:val="single" w:sz="4" w:space="0" w:color="auto"/>
            </w:tcBorders>
            <w:vAlign w:val="center"/>
          </w:tcPr>
          <w:p w14:paraId="13E5FAD8" w14:textId="77777777" w:rsidR="005927ED" w:rsidRPr="00636A92" w:rsidRDefault="005927ED" w:rsidP="005A04CE">
            <w:pPr>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78D4FC11" w14:textId="624AF183" w:rsidR="005927ED"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1DD722F2" w14:textId="23A1B320" w:rsidR="005927ED" w:rsidRPr="00636A92" w:rsidRDefault="005D16C3" w:rsidP="005A04CE">
            <w:pPr>
              <w:rPr>
                <w:rFonts w:ascii="MS PMincho" w:eastAsia="MS PMincho" w:hAnsi="MS PMincho"/>
                <w:sz w:val="22"/>
                <w:szCs w:val="22"/>
              </w:rPr>
            </w:pPr>
            <w:r>
              <w:rPr>
                <w:rFonts w:ascii="MS PMincho" w:eastAsia="MS PMincho" w:hAnsi="MS PMincho"/>
              </w:rPr>
              <w:t>Full professor</w:t>
            </w:r>
          </w:p>
        </w:tc>
      </w:tr>
      <w:tr w:rsidR="005927ED" w:rsidRPr="00E11E3A" w14:paraId="5DBBA147" w14:textId="77777777" w:rsidTr="00BC052A">
        <w:trPr>
          <w:trHeight w:val="285"/>
          <w:jc w:val="center"/>
        </w:trPr>
        <w:tc>
          <w:tcPr>
            <w:tcW w:w="2253" w:type="dxa"/>
            <w:gridSpan w:val="2"/>
            <w:vMerge/>
            <w:tcBorders>
              <w:bottom w:val="single" w:sz="4" w:space="0" w:color="auto"/>
              <w:right w:val="single" w:sz="4" w:space="0" w:color="auto"/>
            </w:tcBorders>
            <w:vAlign w:val="center"/>
          </w:tcPr>
          <w:p w14:paraId="38B55E58" w14:textId="49206A67" w:rsidR="005927ED" w:rsidRPr="00636A92" w:rsidRDefault="005927ED"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nil"/>
              <w:right w:val="single" w:sz="4" w:space="0" w:color="000000"/>
            </w:tcBorders>
          </w:tcPr>
          <w:p w14:paraId="64E1660C" w14:textId="6710D4C1" w:rsidR="005927ED"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20F1223F" w14:textId="046B6663" w:rsidR="005927ED" w:rsidRPr="005D16C3" w:rsidRDefault="005D16C3" w:rsidP="005D16C3">
            <w:pPr>
              <w:spacing w:line="284" w:lineRule="atLeast"/>
              <w:rPr>
                <w:rFonts w:ascii="MS PMincho" w:eastAsia="MS PMincho" w:hAnsi="MS PMincho"/>
              </w:rPr>
            </w:pPr>
            <w:r>
              <w:rPr>
                <w:rFonts w:ascii="MS PMincho" w:eastAsia="MS PMincho" w:hAnsi="MS PMincho"/>
              </w:rPr>
              <w:t>Jenő Gubicza</w:t>
            </w:r>
          </w:p>
        </w:tc>
      </w:tr>
      <w:tr w:rsidR="00FE7BC2" w:rsidRPr="00E11E3A" w14:paraId="00F53EAD" w14:textId="77777777" w:rsidTr="00BC052A">
        <w:trPr>
          <w:trHeight w:val="143"/>
          <w:jc w:val="center"/>
        </w:trPr>
        <w:tc>
          <w:tcPr>
            <w:tcW w:w="2253" w:type="dxa"/>
            <w:gridSpan w:val="2"/>
            <w:vMerge w:val="restart"/>
            <w:tcBorders>
              <w:top w:val="single" w:sz="4" w:space="0" w:color="auto"/>
              <w:right w:val="single" w:sz="4" w:space="0" w:color="auto"/>
            </w:tcBorders>
            <w:vAlign w:val="center"/>
          </w:tcPr>
          <w:p w14:paraId="2305DCBC" w14:textId="7BDCCD47" w:rsidR="00FE7BC2" w:rsidRPr="00636A92" w:rsidRDefault="00FE7BC2" w:rsidP="005A04CE">
            <w:pPr>
              <w:jc w:val="left"/>
              <w:rPr>
                <w:rFonts w:ascii="MS PMincho" w:eastAsia="MS PMincho" w:hAnsi="MS PMincho"/>
                <w:sz w:val="22"/>
                <w:szCs w:val="22"/>
              </w:rPr>
            </w:pPr>
            <w:r w:rsidRPr="00636A92">
              <w:rPr>
                <w:rFonts w:ascii="MS PMincho" w:eastAsia="MS PMincho" w:hAnsi="MS PMincho"/>
                <w:sz w:val="22"/>
                <w:szCs w:val="22"/>
              </w:rPr>
              <w:t>Collaborated researcher of ILM</w:t>
            </w:r>
          </w:p>
        </w:tc>
        <w:tc>
          <w:tcPr>
            <w:tcW w:w="1134" w:type="dxa"/>
            <w:tcBorders>
              <w:top w:val="single" w:sz="4" w:space="0" w:color="auto"/>
              <w:left w:val="single" w:sz="4" w:space="0" w:color="auto"/>
              <w:bottom w:val="dashSmallGap" w:sz="4" w:space="0" w:color="000000"/>
              <w:right w:val="single" w:sz="4" w:space="0" w:color="000000"/>
            </w:tcBorders>
          </w:tcPr>
          <w:p w14:paraId="24D1A159" w14:textId="4C30B6C5"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Affiliation</w:t>
            </w:r>
          </w:p>
        </w:tc>
        <w:tc>
          <w:tcPr>
            <w:tcW w:w="6051" w:type="dxa"/>
            <w:gridSpan w:val="3"/>
            <w:tcBorders>
              <w:top w:val="single" w:sz="4" w:space="0" w:color="auto"/>
              <w:left w:val="single" w:sz="4" w:space="0" w:color="000000"/>
              <w:bottom w:val="dashSmallGap" w:sz="4" w:space="0" w:color="000000"/>
              <w:right w:val="single" w:sz="12" w:space="0" w:color="auto"/>
            </w:tcBorders>
          </w:tcPr>
          <w:p w14:paraId="32F1CA93" w14:textId="1BD3094D" w:rsidR="00FE7BC2" w:rsidRPr="00636A92" w:rsidRDefault="005D16C3" w:rsidP="005A04CE">
            <w:pPr>
              <w:rPr>
                <w:rFonts w:ascii="MS PMincho" w:eastAsia="MS PMincho" w:hAnsi="MS PMincho"/>
                <w:sz w:val="22"/>
                <w:szCs w:val="22"/>
              </w:rPr>
            </w:pPr>
            <w:r w:rsidRPr="005D16C3">
              <w:rPr>
                <w:rFonts w:ascii="MS PMincho" w:eastAsia="MS PMincho" w:hAnsi="MS PMincho"/>
                <w:sz w:val="22"/>
                <w:szCs w:val="22"/>
              </w:rPr>
              <w:t>Magnesium Research Center, Kumamoto University</w:t>
            </w:r>
          </w:p>
        </w:tc>
      </w:tr>
      <w:tr w:rsidR="00FE7BC2" w:rsidRPr="00E11E3A" w14:paraId="2FEDC074" w14:textId="77777777" w:rsidTr="00BC052A">
        <w:trPr>
          <w:trHeight w:val="142"/>
          <w:jc w:val="center"/>
        </w:trPr>
        <w:tc>
          <w:tcPr>
            <w:tcW w:w="2253" w:type="dxa"/>
            <w:gridSpan w:val="2"/>
            <w:vMerge/>
            <w:tcBorders>
              <w:right w:val="single" w:sz="4" w:space="0" w:color="auto"/>
            </w:tcBorders>
            <w:vAlign w:val="center"/>
          </w:tcPr>
          <w:p w14:paraId="76F9342A"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dashSmallGap" w:sz="4" w:space="0" w:color="000000"/>
              <w:right w:val="single" w:sz="4" w:space="0" w:color="000000"/>
            </w:tcBorders>
          </w:tcPr>
          <w:p w14:paraId="51532891" w14:textId="567CCD59" w:rsidR="00FE7BC2" w:rsidRPr="00636A92" w:rsidRDefault="00FE7BC2" w:rsidP="005A04CE">
            <w:pPr>
              <w:rPr>
                <w:rFonts w:ascii="MS PMincho" w:eastAsia="MS PMincho" w:hAnsi="MS PMincho"/>
                <w:sz w:val="22"/>
                <w:szCs w:val="22"/>
              </w:rPr>
            </w:pPr>
            <w:r w:rsidRPr="00636A92">
              <w:rPr>
                <w:rFonts w:ascii="MS PMincho" w:eastAsia="MS PMincho" w:hAnsi="MS PMincho"/>
                <w:sz w:val="22"/>
                <w:szCs w:val="22"/>
              </w:rPr>
              <w:t>Job title</w:t>
            </w:r>
          </w:p>
        </w:tc>
        <w:tc>
          <w:tcPr>
            <w:tcW w:w="6051" w:type="dxa"/>
            <w:gridSpan w:val="3"/>
            <w:tcBorders>
              <w:top w:val="dashSmallGap" w:sz="4" w:space="0" w:color="000000"/>
              <w:left w:val="single" w:sz="4" w:space="0" w:color="000000"/>
              <w:bottom w:val="dashSmallGap" w:sz="4" w:space="0" w:color="000000"/>
              <w:right w:val="single" w:sz="12" w:space="0" w:color="auto"/>
            </w:tcBorders>
          </w:tcPr>
          <w:p w14:paraId="7E481F82" w14:textId="52CF1BE9" w:rsidR="00FE7BC2" w:rsidRPr="00636A92" w:rsidRDefault="005D16C3" w:rsidP="005A04CE">
            <w:pPr>
              <w:rPr>
                <w:rFonts w:ascii="MS PMincho" w:eastAsia="MS PMincho" w:hAnsi="MS PMincho"/>
                <w:sz w:val="22"/>
                <w:szCs w:val="22"/>
              </w:rPr>
            </w:pPr>
            <w:r>
              <w:rPr>
                <w:rFonts w:ascii="MS PMincho" w:eastAsia="MS PMincho" w:hAnsi="MS PMincho"/>
              </w:rPr>
              <w:t>Full professor</w:t>
            </w:r>
          </w:p>
        </w:tc>
      </w:tr>
      <w:tr w:rsidR="00FE7BC2" w:rsidRPr="00E11E3A" w14:paraId="17A1B61E" w14:textId="77777777" w:rsidTr="00BC052A">
        <w:trPr>
          <w:trHeight w:val="252"/>
          <w:jc w:val="center"/>
        </w:trPr>
        <w:tc>
          <w:tcPr>
            <w:tcW w:w="2253" w:type="dxa"/>
            <w:gridSpan w:val="2"/>
            <w:vMerge/>
            <w:tcBorders>
              <w:bottom w:val="single" w:sz="4" w:space="0" w:color="auto"/>
              <w:right w:val="single" w:sz="4" w:space="0" w:color="auto"/>
            </w:tcBorders>
            <w:vAlign w:val="center"/>
          </w:tcPr>
          <w:p w14:paraId="5F9D720E" w14:textId="77777777" w:rsidR="00FE7BC2" w:rsidRPr="00636A92" w:rsidRDefault="00FE7BC2" w:rsidP="005A04CE">
            <w:pPr>
              <w:ind w:left="220" w:hangingChars="100" w:hanging="220"/>
              <w:jc w:val="left"/>
              <w:rPr>
                <w:rFonts w:ascii="MS PMincho" w:eastAsia="MS PMincho" w:hAnsi="MS PMincho"/>
                <w:sz w:val="22"/>
                <w:szCs w:val="22"/>
              </w:rPr>
            </w:pPr>
          </w:p>
        </w:tc>
        <w:tc>
          <w:tcPr>
            <w:tcW w:w="1134" w:type="dxa"/>
            <w:tcBorders>
              <w:top w:val="dashSmallGap" w:sz="4" w:space="0" w:color="000000"/>
              <w:left w:val="single" w:sz="4" w:space="0" w:color="auto"/>
              <w:bottom w:val="single" w:sz="4" w:space="0" w:color="auto"/>
              <w:right w:val="single" w:sz="4" w:space="0" w:color="000000"/>
            </w:tcBorders>
          </w:tcPr>
          <w:p w14:paraId="362D63AB" w14:textId="5768737F" w:rsidR="00FE7BC2" w:rsidRPr="00636A92" w:rsidRDefault="00FE7BC2" w:rsidP="005A04CE">
            <w:pPr>
              <w:rPr>
                <w:rFonts w:ascii="MS PMincho" w:eastAsia="MS PMincho" w:hAnsi="MS PMincho"/>
                <w:sz w:val="22"/>
                <w:szCs w:val="22"/>
              </w:rPr>
            </w:pPr>
            <w:r w:rsidRPr="00636A92">
              <w:rPr>
                <w:rFonts w:ascii="MS PMincho" w:eastAsia="MS PMincho" w:hAnsi="MS PMincho" w:hint="eastAsia"/>
                <w:sz w:val="22"/>
                <w:szCs w:val="22"/>
              </w:rPr>
              <w:t>Name</w:t>
            </w:r>
          </w:p>
        </w:tc>
        <w:tc>
          <w:tcPr>
            <w:tcW w:w="6051" w:type="dxa"/>
            <w:gridSpan w:val="3"/>
            <w:tcBorders>
              <w:top w:val="dashSmallGap" w:sz="4" w:space="0" w:color="000000"/>
              <w:left w:val="single" w:sz="4" w:space="0" w:color="000000"/>
              <w:bottom w:val="single" w:sz="4" w:space="0" w:color="auto"/>
              <w:right w:val="single" w:sz="12" w:space="0" w:color="auto"/>
            </w:tcBorders>
          </w:tcPr>
          <w:p w14:paraId="06557622" w14:textId="5283DDB9" w:rsidR="00FE7BC2" w:rsidRPr="00636A92" w:rsidRDefault="005D16C3" w:rsidP="005A04CE">
            <w:pPr>
              <w:rPr>
                <w:rFonts w:ascii="MS PMincho" w:eastAsia="MS PMincho" w:hAnsi="MS PMincho"/>
                <w:sz w:val="22"/>
                <w:szCs w:val="22"/>
              </w:rPr>
            </w:pPr>
            <w:r w:rsidRPr="00977550">
              <w:rPr>
                <w:rFonts w:ascii="MS PMincho" w:eastAsia="MS PMincho" w:hAnsi="MS PMincho"/>
              </w:rPr>
              <w:t>Yoshihito Kawamura</w:t>
            </w:r>
          </w:p>
        </w:tc>
      </w:tr>
      <w:tr w:rsidR="00596D90" w:rsidRPr="00E11E3A" w14:paraId="6728BD31" w14:textId="77777777" w:rsidTr="005A04CE">
        <w:trPr>
          <w:trHeight w:val="625"/>
          <w:jc w:val="center"/>
        </w:trPr>
        <w:tc>
          <w:tcPr>
            <w:tcW w:w="2253" w:type="dxa"/>
            <w:gridSpan w:val="2"/>
            <w:tcBorders>
              <w:top w:val="single" w:sz="4" w:space="0" w:color="auto"/>
              <w:bottom w:val="single" w:sz="4" w:space="0" w:color="auto"/>
              <w:right w:val="single" w:sz="4" w:space="0" w:color="auto"/>
            </w:tcBorders>
            <w:vAlign w:val="center"/>
          </w:tcPr>
          <w:p w14:paraId="0CE301B8" w14:textId="650FD880" w:rsidR="00596D90" w:rsidRPr="00636A92" w:rsidRDefault="00636A92" w:rsidP="005A04CE">
            <w:pPr>
              <w:jc w:val="left"/>
              <w:rPr>
                <w:rFonts w:ascii="MS PMincho" w:eastAsia="MS PMincho" w:hAnsi="MS PMincho"/>
                <w:sz w:val="22"/>
                <w:szCs w:val="22"/>
              </w:rPr>
            </w:pPr>
            <w:r w:rsidRPr="00636A92">
              <w:rPr>
                <w:rFonts w:ascii="MS PMincho" w:eastAsia="MS PMincho" w:hAnsi="MS PMincho"/>
                <w:sz w:val="22"/>
                <w:szCs w:val="22"/>
              </w:rPr>
              <w:t>Title of the joint research</w:t>
            </w:r>
          </w:p>
        </w:tc>
        <w:tc>
          <w:tcPr>
            <w:tcW w:w="7185" w:type="dxa"/>
            <w:gridSpan w:val="4"/>
            <w:tcBorders>
              <w:top w:val="single" w:sz="4" w:space="0" w:color="auto"/>
              <w:left w:val="single" w:sz="4" w:space="0" w:color="auto"/>
              <w:bottom w:val="single" w:sz="4" w:space="0" w:color="auto"/>
              <w:right w:val="single" w:sz="12" w:space="0" w:color="auto"/>
            </w:tcBorders>
            <w:vAlign w:val="center"/>
          </w:tcPr>
          <w:p w14:paraId="7BC59D19" w14:textId="4E42CBB6" w:rsidR="00596D90" w:rsidRPr="00636A92" w:rsidRDefault="005D16C3" w:rsidP="005A04CE">
            <w:pPr>
              <w:rPr>
                <w:rFonts w:ascii="MS PMincho" w:eastAsia="MS PMincho" w:hAnsi="MS PMincho"/>
                <w:sz w:val="22"/>
                <w:szCs w:val="22"/>
              </w:rPr>
            </w:pPr>
            <w:r w:rsidRPr="00977550">
              <w:rPr>
                <w:rFonts w:ascii="MS PMincho" w:eastAsia="MS PMincho" w:hAnsi="MS PMincho"/>
                <w:sz w:val="22"/>
                <w:szCs w:val="22"/>
              </w:rPr>
              <w:t>Revealing deformation mechanisms in novel Mg alloys by X-ray line profile analysis</w:t>
            </w:r>
          </w:p>
        </w:tc>
      </w:tr>
      <w:tr w:rsidR="00596D90" w:rsidRPr="00E11E3A" w14:paraId="519EC9CD"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789"/>
          <w:jc w:val="center"/>
        </w:trPr>
        <w:tc>
          <w:tcPr>
            <w:tcW w:w="2253" w:type="dxa"/>
            <w:gridSpan w:val="2"/>
            <w:tcBorders>
              <w:top w:val="single" w:sz="4" w:space="0" w:color="auto"/>
              <w:right w:val="single" w:sz="4" w:space="0" w:color="auto"/>
            </w:tcBorders>
            <w:vAlign w:val="center"/>
          </w:tcPr>
          <w:p w14:paraId="1F7463E5" w14:textId="77777777" w:rsidR="00596D90" w:rsidRPr="00636A92" w:rsidRDefault="00596D90" w:rsidP="005A04CE">
            <w:pPr>
              <w:suppressAutoHyphens/>
              <w:kinsoku w:val="0"/>
              <w:overflowPunct w:val="0"/>
              <w:autoSpaceDE w:val="0"/>
              <w:autoSpaceDN w:val="0"/>
              <w:spacing w:line="288" w:lineRule="atLeast"/>
              <w:rPr>
                <w:rFonts w:ascii="MS PMincho" w:eastAsia="MS PMincho" w:hAnsi="MS PMincho"/>
                <w:sz w:val="22"/>
                <w:szCs w:val="22"/>
              </w:rPr>
            </w:pPr>
          </w:p>
          <w:p w14:paraId="394C07C7" w14:textId="6AAA98BC" w:rsidR="00596D90" w:rsidRPr="00636A92" w:rsidRDefault="00636A92" w:rsidP="00BC052A">
            <w:pPr>
              <w:suppressAutoHyphens/>
              <w:kinsoku w:val="0"/>
              <w:overflowPunct w:val="0"/>
              <w:autoSpaceDE w:val="0"/>
              <w:autoSpaceDN w:val="0"/>
              <w:spacing w:line="288" w:lineRule="atLeast"/>
              <w:ind w:leftChars="35" w:left="73"/>
              <w:rPr>
                <w:rFonts w:ascii="MS PMincho" w:eastAsia="MS PMincho" w:hAnsi="MS PMincho"/>
                <w:sz w:val="22"/>
                <w:szCs w:val="22"/>
              </w:rPr>
            </w:pPr>
            <w:r w:rsidRPr="00636A92">
              <w:rPr>
                <w:rFonts w:ascii="MS PMincho" w:eastAsia="MS PMincho" w:hAnsi="MS PMincho"/>
                <w:sz w:val="22"/>
                <w:szCs w:val="22"/>
              </w:rPr>
              <w:t>Joint research Program</w:t>
            </w:r>
          </w:p>
          <w:p w14:paraId="22ACAAEB" w14:textId="77777777"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2"/>
                <w:szCs w:val="22"/>
              </w:rPr>
            </w:pPr>
          </w:p>
          <w:p w14:paraId="20EEFD69" w14:textId="170C651B" w:rsidR="00596D90" w:rsidRPr="00636A92" w:rsidRDefault="00596D90" w:rsidP="00BC052A">
            <w:pPr>
              <w:suppressAutoHyphens/>
              <w:kinsoku w:val="0"/>
              <w:overflowPunct w:val="0"/>
              <w:autoSpaceDE w:val="0"/>
              <w:autoSpaceDN w:val="0"/>
              <w:spacing w:line="288" w:lineRule="atLeast"/>
              <w:ind w:leftChars="35" w:left="73"/>
              <w:rPr>
                <w:rFonts w:ascii="MS PMincho" w:eastAsia="MS PMincho" w:hAnsi="MS PMincho"/>
                <w:sz w:val="20"/>
                <w:szCs w:val="20"/>
              </w:rPr>
            </w:pPr>
            <w:r w:rsidRPr="00636A92">
              <w:rPr>
                <w:rFonts w:ascii="MS PMincho" w:eastAsia="MS PMincho" w:hAnsi="MS PMincho" w:hint="eastAsia"/>
                <w:sz w:val="20"/>
                <w:szCs w:val="20"/>
              </w:rPr>
              <w:t>※</w:t>
            </w:r>
            <w:r w:rsidR="00636A92">
              <w:rPr>
                <w:rFonts w:ascii="MS PMincho" w:eastAsia="MS PMincho" w:hAnsi="MS PMincho" w:hint="eastAsia"/>
              </w:rPr>
              <w:t>check the box</w:t>
            </w:r>
          </w:p>
        </w:tc>
        <w:tc>
          <w:tcPr>
            <w:tcW w:w="3969" w:type="dxa"/>
            <w:gridSpan w:val="3"/>
            <w:tcBorders>
              <w:top w:val="nil"/>
              <w:left w:val="single" w:sz="4" w:space="0" w:color="auto"/>
              <w:right w:val="dashed" w:sz="4" w:space="0" w:color="000000"/>
            </w:tcBorders>
          </w:tcPr>
          <w:p w14:paraId="49D094F3"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Joint Usage / Research Centers (JURC)</w:t>
            </w:r>
          </w:p>
          <w:p w14:paraId="07496DAC" w14:textId="2D60D7F4" w:rsidR="005A04CE" w:rsidRDefault="005D16C3"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Pr>
                <w:rFonts w:ascii="MS PMincho" w:eastAsia="MS PMincho" w:hAnsi="MS PMincho"/>
                <w:sz w:val="22"/>
                <w:szCs w:val="22"/>
              </w:rPr>
              <w:t>x</w:t>
            </w:r>
            <w:r w:rsidR="00636A92" w:rsidRPr="00636A92">
              <w:rPr>
                <w:rFonts w:ascii="MS PMincho" w:eastAsia="MS PMincho" w:hAnsi="MS PMincho" w:hint="eastAsia"/>
                <w:sz w:val="22"/>
                <w:szCs w:val="22"/>
              </w:rPr>
              <w:t xml:space="preserve">　Program for International JURC</w:t>
            </w:r>
          </w:p>
          <w:p w14:paraId="343973E2" w14:textId="77777777" w:rsidR="005A04CE" w:rsidRDefault="00636A92" w:rsidP="005A04CE">
            <w:pPr>
              <w:suppressAutoHyphens/>
              <w:kinsoku w:val="0"/>
              <w:overflowPunct w:val="0"/>
              <w:autoSpaceDE w:val="0"/>
              <w:autoSpaceDN w:val="0"/>
              <w:spacing w:line="288" w:lineRule="atLeast"/>
              <w:ind w:left="374" w:hangingChars="170" w:hanging="374"/>
              <w:jc w:val="left"/>
              <w:rPr>
                <w:rFonts w:ascii="MS PMincho" w:eastAsia="MS PMincho" w:hAnsi="MS PMincho"/>
                <w:sz w:val="22"/>
                <w:szCs w:val="22"/>
              </w:rPr>
            </w:pPr>
            <w:r w:rsidRPr="00636A92">
              <w:rPr>
                <w:rFonts w:ascii="MS PMincho" w:eastAsia="MS PMincho" w:hAnsi="MS PMincho" w:hint="eastAsia"/>
                <w:sz w:val="22"/>
                <w:szCs w:val="22"/>
              </w:rPr>
              <w:t>□　Program for providing samples and materials</w:t>
            </w:r>
          </w:p>
          <w:p w14:paraId="64F8FBF7" w14:textId="27C1CC4D" w:rsidR="00596D90" w:rsidRPr="00636A92" w:rsidRDefault="00636A92" w:rsidP="005A04CE">
            <w:pPr>
              <w:suppressAutoHyphens/>
              <w:kinsoku w:val="0"/>
              <w:overflowPunct w:val="0"/>
              <w:autoSpaceDE w:val="0"/>
              <w:autoSpaceDN w:val="0"/>
              <w:spacing w:line="288" w:lineRule="atLeast"/>
              <w:ind w:left="374" w:hangingChars="170" w:hanging="374"/>
              <w:jc w:val="left"/>
              <w:rPr>
                <w:sz w:val="22"/>
                <w:szCs w:val="22"/>
              </w:rPr>
            </w:pPr>
            <w:r w:rsidRPr="00636A92">
              <w:rPr>
                <w:rFonts w:ascii="MS PMincho" w:eastAsia="MS PMincho" w:hAnsi="MS PMincho" w:hint="eastAsia"/>
                <w:sz w:val="22"/>
                <w:szCs w:val="22"/>
              </w:rPr>
              <w:t xml:space="preserve">□　Program for using ILM facilities for sample analysis and </w:t>
            </w:r>
            <w:r w:rsidR="00BC052A" w:rsidRPr="00636A92">
              <w:rPr>
                <w:rFonts w:ascii="MS PMincho" w:eastAsia="MS PMincho" w:hAnsi="MS PMincho"/>
                <w:sz w:val="22"/>
                <w:szCs w:val="22"/>
              </w:rPr>
              <w:t>characterization</w:t>
            </w:r>
          </w:p>
        </w:tc>
        <w:tc>
          <w:tcPr>
            <w:tcW w:w="3216" w:type="dxa"/>
            <w:tcBorders>
              <w:top w:val="nil"/>
              <w:left w:val="dashed" w:sz="4" w:space="0" w:color="000000"/>
            </w:tcBorders>
          </w:tcPr>
          <w:p w14:paraId="379C0909" w14:textId="0F85BE78" w:rsidR="00596D90" w:rsidRPr="00636A92" w:rsidRDefault="005A04CE" w:rsidP="005A04CE">
            <w:pPr>
              <w:ind w:right="68"/>
              <w:rPr>
                <w:rFonts w:ascii="MS PMincho" w:eastAsia="MS PMincho" w:hAnsi="MS PMincho"/>
                <w:sz w:val="22"/>
                <w:szCs w:val="22"/>
              </w:rPr>
            </w:pPr>
            <w:r>
              <w:rPr>
                <w:rFonts w:hint="eastAsia"/>
                <w:sz w:val="22"/>
                <w:szCs w:val="22"/>
              </w:rPr>
              <w:t>□</w:t>
            </w:r>
            <w:r>
              <w:rPr>
                <w:rFonts w:hint="eastAsia"/>
                <w:sz w:val="22"/>
                <w:szCs w:val="22"/>
              </w:rPr>
              <w:t xml:space="preserve"> </w:t>
            </w:r>
            <w:r w:rsidR="00636A92" w:rsidRPr="00636A92">
              <w:rPr>
                <w:rFonts w:ascii="MS PMincho" w:eastAsia="MS PMincho" w:hAnsi="MS PMincho"/>
                <w:sz w:val="22"/>
                <w:szCs w:val="22"/>
              </w:rPr>
              <w:t>Focused themes</w:t>
            </w:r>
          </w:p>
          <w:p w14:paraId="120E0CC3" w14:textId="19111552" w:rsidR="00596D90" w:rsidRPr="00636A92" w:rsidRDefault="00636A92" w:rsidP="005A04CE">
            <w:pPr>
              <w:ind w:right="68" w:firstLineChars="100" w:firstLine="220"/>
              <w:rPr>
                <w:rFonts w:ascii="MS PMincho" w:eastAsia="MS PMincho" w:hAnsi="MS PMincho"/>
                <w:sz w:val="22"/>
                <w:szCs w:val="22"/>
              </w:rPr>
            </w:pPr>
            <w:r>
              <w:rPr>
                <w:rFonts w:hint="eastAsia"/>
                <w:sz w:val="22"/>
                <w:szCs w:val="22"/>
              </w:rPr>
              <w:t>□</w:t>
            </w:r>
            <w:r>
              <w:rPr>
                <w:rFonts w:hint="eastAsia"/>
                <w:sz w:val="22"/>
                <w:szCs w:val="22"/>
              </w:rPr>
              <w:t xml:space="preserve"> </w:t>
            </w:r>
            <w:r w:rsidRPr="00636A92">
              <w:rPr>
                <w:rFonts w:ascii="MS PMincho" w:eastAsia="MS PMincho" w:hAnsi="MS PMincho"/>
                <w:sz w:val="22"/>
                <w:szCs w:val="22"/>
              </w:rPr>
              <w:t>Transportation</w:t>
            </w:r>
          </w:p>
          <w:p w14:paraId="2FEFE168" w14:textId="7B89E54B" w:rsidR="00596D90" w:rsidRPr="00636A92" w:rsidRDefault="00C31736" w:rsidP="005A04CE">
            <w:pPr>
              <w:ind w:right="68" w:firstLineChars="100" w:firstLine="220"/>
              <w:rPr>
                <w:rFonts w:ascii="MS PMincho" w:eastAsia="MS PMincho" w:hAnsi="MS PMincho"/>
                <w:sz w:val="22"/>
                <w:szCs w:val="22"/>
              </w:rPr>
            </w:pPr>
            <w:r>
              <w:rPr>
                <w:sz w:val="22"/>
                <w:szCs w:val="22"/>
              </w:rPr>
              <w:t xml:space="preserve">x </w:t>
            </w:r>
            <w:r w:rsidR="00636A92">
              <w:rPr>
                <w:rFonts w:hint="eastAsia"/>
                <w:sz w:val="22"/>
                <w:szCs w:val="22"/>
              </w:rPr>
              <w:t xml:space="preserve"> </w:t>
            </w:r>
            <w:r w:rsidR="00636A92" w:rsidRPr="00636A92">
              <w:rPr>
                <w:rFonts w:ascii="MS PMincho" w:eastAsia="MS PMincho" w:hAnsi="MS PMincho"/>
                <w:sz w:val="22"/>
                <w:szCs w:val="22"/>
              </w:rPr>
              <w:t>Biomaterials</w:t>
            </w:r>
          </w:p>
          <w:p w14:paraId="2BBE4344" w14:textId="232F9400"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Bridge/building materials</w:t>
            </w:r>
          </w:p>
          <w:p w14:paraId="7712B945" w14:textId="734D89FB" w:rsidR="00596D90" w:rsidRPr="00636A92" w:rsidRDefault="00636A92" w:rsidP="005A04CE">
            <w:pPr>
              <w:ind w:right="68" w:firstLineChars="100" w:firstLine="220"/>
              <w:rPr>
                <w:rFonts w:ascii="MS PMincho" w:eastAsia="MS PMincho" w:hAnsi="MS PMincho"/>
                <w:sz w:val="22"/>
                <w:szCs w:val="22"/>
              </w:rPr>
            </w:pPr>
            <w:r w:rsidRPr="00636A92">
              <w:rPr>
                <w:rFonts w:ascii="MS PMincho" w:eastAsia="MS PMincho" w:hAnsi="MS PMincho" w:hint="eastAsia"/>
                <w:sz w:val="22"/>
                <w:szCs w:val="22"/>
              </w:rPr>
              <w:t>□</w:t>
            </w:r>
            <w:r>
              <w:rPr>
                <w:rFonts w:ascii="MS PMincho" w:eastAsia="MS PMincho" w:hAnsi="MS PMincho" w:hint="eastAsia"/>
                <w:sz w:val="22"/>
                <w:szCs w:val="22"/>
              </w:rPr>
              <w:t xml:space="preserve"> </w:t>
            </w:r>
            <w:r w:rsidRPr="00636A92">
              <w:rPr>
                <w:rFonts w:ascii="MS PMincho" w:eastAsia="MS PMincho" w:hAnsi="MS PMincho" w:hint="eastAsia"/>
                <w:sz w:val="22"/>
                <w:szCs w:val="22"/>
              </w:rPr>
              <w:t>Kink strengthening</w:t>
            </w:r>
          </w:p>
          <w:p w14:paraId="3BDE137F" w14:textId="731E4AD3" w:rsidR="00596D90"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hint="eastAsia"/>
                <w:sz w:val="22"/>
                <w:szCs w:val="22"/>
              </w:rPr>
              <w:t>□　Independent research theme</w:t>
            </w:r>
          </w:p>
        </w:tc>
      </w:tr>
      <w:tr w:rsidR="00A16AEA" w:rsidRPr="00E11E3A" w14:paraId="7338AEEA" w14:textId="77777777" w:rsidTr="005A04CE">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834"/>
          <w:jc w:val="center"/>
        </w:trPr>
        <w:tc>
          <w:tcPr>
            <w:tcW w:w="2253" w:type="dxa"/>
            <w:gridSpan w:val="2"/>
            <w:tcBorders>
              <w:top w:val="single" w:sz="4" w:space="0" w:color="000000"/>
              <w:bottom w:val="single" w:sz="4" w:space="0" w:color="FFFFFF"/>
              <w:right w:val="single" w:sz="4" w:space="0" w:color="000000"/>
            </w:tcBorders>
          </w:tcPr>
          <w:p w14:paraId="1D06D00F" w14:textId="4443EF25" w:rsidR="005927ED" w:rsidRPr="00636A92" w:rsidRDefault="00C13F4C" w:rsidP="00BC052A">
            <w:pPr>
              <w:ind w:leftChars="35" w:left="73" w:right="68"/>
              <w:jc w:val="left"/>
              <w:rPr>
                <w:rFonts w:ascii="MS PMincho" w:eastAsia="MS PMincho" w:hAnsi="MS PMincho"/>
                <w:sz w:val="22"/>
                <w:szCs w:val="22"/>
              </w:rPr>
            </w:pPr>
            <w:r w:rsidRPr="00C13F4C">
              <w:rPr>
                <w:rFonts w:ascii="MS PMincho" w:eastAsia="MS PMincho" w:hAnsi="MS PMincho"/>
                <w:sz w:val="22"/>
                <w:szCs w:val="22"/>
              </w:rPr>
              <w:t>Name of joint usage apparatus</w:t>
            </w:r>
          </w:p>
        </w:tc>
        <w:tc>
          <w:tcPr>
            <w:tcW w:w="7185" w:type="dxa"/>
            <w:gridSpan w:val="4"/>
            <w:tcBorders>
              <w:top w:val="single" w:sz="4" w:space="0" w:color="000000"/>
              <w:left w:val="single" w:sz="4" w:space="0" w:color="000000"/>
              <w:bottom w:val="single" w:sz="4" w:space="0" w:color="FFFFFF"/>
            </w:tcBorders>
          </w:tcPr>
          <w:p w14:paraId="624103B9" w14:textId="608658BA" w:rsidR="00A16AEA" w:rsidRPr="00636A92" w:rsidRDefault="00A16AEA" w:rsidP="005A04CE">
            <w:pPr>
              <w:ind w:right="68"/>
              <w:rPr>
                <w:rFonts w:ascii="MS PMincho" w:eastAsia="MS PMincho" w:hAnsi="MS PMincho"/>
                <w:sz w:val="22"/>
                <w:szCs w:val="22"/>
              </w:rPr>
            </w:pPr>
          </w:p>
        </w:tc>
      </w:tr>
      <w:tr w:rsidR="00174206" w:rsidRPr="00E11E3A" w14:paraId="029F0F60" w14:textId="77777777" w:rsidTr="00E232A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395"/>
          <w:jc w:val="center"/>
        </w:trPr>
        <w:tc>
          <w:tcPr>
            <w:tcW w:w="1856" w:type="dxa"/>
            <w:tcBorders>
              <w:right w:val="single" w:sz="4" w:space="0" w:color="auto"/>
            </w:tcBorders>
            <w:vAlign w:val="center"/>
          </w:tcPr>
          <w:p w14:paraId="609B37A0" w14:textId="0C61F4B3" w:rsidR="00174206" w:rsidRPr="00636A92" w:rsidRDefault="00636A92" w:rsidP="00BC052A">
            <w:pPr>
              <w:suppressAutoHyphens/>
              <w:kinsoku w:val="0"/>
              <w:overflowPunct w:val="0"/>
              <w:autoSpaceDE w:val="0"/>
              <w:autoSpaceDN w:val="0"/>
              <w:spacing w:line="288" w:lineRule="atLeast"/>
              <w:rPr>
                <w:rFonts w:ascii="MS PMincho" w:eastAsia="MS PMincho" w:hAnsi="MS PMincho"/>
                <w:sz w:val="22"/>
                <w:szCs w:val="22"/>
              </w:rPr>
            </w:pPr>
            <w:r w:rsidRPr="00BC052A">
              <w:rPr>
                <w:rFonts w:ascii="MS PMincho" w:eastAsia="MS PMincho" w:hAnsi="MS PMincho"/>
                <w:spacing w:val="1"/>
                <w:w w:val="88"/>
                <w:kern w:val="0"/>
                <w:sz w:val="22"/>
                <w:szCs w:val="22"/>
                <w:fitText w:val="1760" w:id="-1267437312"/>
              </w:rPr>
              <w:t>Total amount of gran</w:t>
            </w:r>
            <w:r w:rsidRPr="00BC052A">
              <w:rPr>
                <w:rFonts w:ascii="MS PMincho" w:eastAsia="MS PMincho" w:hAnsi="MS PMincho"/>
                <w:spacing w:val="7"/>
                <w:w w:val="88"/>
                <w:kern w:val="0"/>
                <w:sz w:val="22"/>
                <w:szCs w:val="22"/>
                <w:fitText w:val="1760" w:id="-1267437312"/>
              </w:rPr>
              <w:t>t</w:t>
            </w:r>
          </w:p>
        </w:tc>
        <w:tc>
          <w:tcPr>
            <w:tcW w:w="3791" w:type="dxa"/>
            <w:gridSpan w:val="3"/>
            <w:tcBorders>
              <w:left w:val="single" w:sz="4" w:space="0" w:color="auto"/>
              <w:right w:val="dashSmallGap" w:sz="4" w:space="0" w:color="auto"/>
            </w:tcBorders>
            <w:vAlign w:val="center"/>
          </w:tcPr>
          <w:p w14:paraId="3DB1CF44" w14:textId="406CA3ED"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Travel expense</w:t>
            </w:r>
            <w:r w:rsidR="00174206" w:rsidRPr="00636A92">
              <w:rPr>
                <w:rFonts w:ascii="MS PMincho" w:eastAsia="MS PMincho" w:hAnsi="MS PMincho" w:hint="eastAsia"/>
                <w:sz w:val="22"/>
                <w:szCs w:val="22"/>
              </w:rPr>
              <w:t>（</w:t>
            </w:r>
            <w:r w:rsidR="00E330E4" w:rsidRPr="00E330E4">
              <w:rPr>
                <w:rFonts w:ascii="MS PMincho" w:eastAsia="MS PMincho" w:hAnsi="MS PMincho"/>
                <w:sz w:val="22"/>
                <w:szCs w:val="22"/>
              </w:rPr>
              <w:t>240,000 JPY</w:t>
            </w:r>
            <w:r w:rsidR="00174206" w:rsidRPr="00636A92">
              <w:rPr>
                <w:rFonts w:ascii="MS PMincho" w:eastAsia="MS PMincho" w:hAnsi="MS PMincho" w:hint="eastAsia"/>
                <w:sz w:val="22"/>
                <w:szCs w:val="22"/>
              </w:rPr>
              <w:t>）</w:t>
            </w:r>
          </w:p>
        </w:tc>
        <w:tc>
          <w:tcPr>
            <w:tcW w:w="3791" w:type="dxa"/>
            <w:gridSpan w:val="2"/>
            <w:tcBorders>
              <w:left w:val="dashSmallGap" w:sz="4" w:space="0" w:color="auto"/>
            </w:tcBorders>
            <w:vAlign w:val="center"/>
          </w:tcPr>
          <w:p w14:paraId="69692AE2" w14:textId="36378C50" w:rsidR="00174206" w:rsidRPr="00636A92" w:rsidRDefault="00C13F4C" w:rsidP="005A04CE">
            <w:pPr>
              <w:suppressAutoHyphens/>
              <w:kinsoku w:val="0"/>
              <w:overflowPunct w:val="0"/>
              <w:autoSpaceDE w:val="0"/>
              <w:autoSpaceDN w:val="0"/>
              <w:spacing w:line="288" w:lineRule="atLeast"/>
              <w:rPr>
                <w:rFonts w:ascii="MS PMincho" w:eastAsia="MS PMincho" w:hAnsi="MS PMincho"/>
                <w:sz w:val="22"/>
                <w:szCs w:val="22"/>
              </w:rPr>
            </w:pPr>
            <w:r w:rsidRPr="00C13F4C">
              <w:rPr>
                <w:rFonts w:ascii="MS PMincho" w:eastAsia="MS PMincho" w:hAnsi="MS PMincho"/>
                <w:sz w:val="22"/>
                <w:szCs w:val="22"/>
              </w:rPr>
              <w:t>Consumable Fee</w:t>
            </w:r>
            <w:r w:rsidR="00174206" w:rsidRPr="00636A92">
              <w:rPr>
                <w:rFonts w:ascii="MS PMincho" w:eastAsia="MS PMincho" w:hAnsi="MS PMincho" w:hint="eastAsia"/>
                <w:sz w:val="22"/>
                <w:szCs w:val="22"/>
              </w:rPr>
              <w:t>（</w:t>
            </w:r>
            <w:r w:rsidR="00E330E4" w:rsidRPr="00E330E4">
              <w:rPr>
                <w:rFonts w:ascii="MS PMincho" w:eastAsia="MS PMincho" w:hAnsi="MS PMincho"/>
                <w:sz w:val="22"/>
                <w:szCs w:val="22"/>
              </w:rPr>
              <w:t>60,000 JPY</w:t>
            </w:r>
            <w:r w:rsidR="00174206" w:rsidRPr="00636A92">
              <w:rPr>
                <w:rFonts w:ascii="MS PMincho" w:eastAsia="MS PMincho" w:hAnsi="MS PMincho" w:hint="eastAsia"/>
                <w:sz w:val="22"/>
                <w:szCs w:val="22"/>
              </w:rPr>
              <w:t>）</w:t>
            </w:r>
          </w:p>
        </w:tc>
      </w:tr>
      <w:tr w:rsidR="00596D90" w:rsidRPr="00E11E3A" w14:paraId="25A704D5" w14:textId="77777777" w:rsidTr="00596D90">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5816"/>
          <w:jc w:val="center"/>
        </w:trPr>
        <w:tc>
          <w:tcPr>
            <w:tcW w:w="9438" w:type="dxa"/>
            <w:gridSpan w:val="6"/>
          </w:tcPr>
          <w:p w14:paraId="7990412D" w14:textId="3BE8B051" w:rsidR="00596D90" w:rsidRPr="005927ED" w:rsidRDefault="00C13F4C" w:rsidP="005A04CE">
            <w:pPr>
              <w:pStyle w:val="a"/>
              <w:wordWrap/>
              <w:spacing w:line="288" w:lineRule="atLeast"/>
              <w:rPr>
                <w:rFonts w:ascii="MS PMincho" w:eastAsia="MS PMincho" w:hAnsi="MS PMincho"/>
                <w:b/>
                <w:color w:val="FF0000"/>
                <w:spacing w:val="0"/>
                <w:sz w:val="16"/>
              </w:rPr>
            </w:pPr>
            <w:r w:rsidRPr="00C13F4C">
              <w:rPr>
                <w:rFonts w:ascii="MS PMincho" w:eastAsia="MS PMincho" w:hAnsi="MS PMincho"/>
                <w:b/>
                <w:bCs/>
                <w:spacing w:val="0"/>
              </w:rPr>
              <w:t>Research Results</w:t>
            </w:r>
            <w:r w:rsidR="00596D90" w:rsidRPr="005927ED">
              <w:rPr>
                <w:rFonts w:ascii="MS PMincho" w:eastAsia="MS PMincho" w:hAnsi="MS PMincho" w:hint="eastAsia"/>
                <w:spacing w:val="0"/>
              </w:rPr>
              <w:t xml:space="preserve">　</w:t>
            </w:r>
            <w:r w:rsidR="00596D90" w:rsidRPr="005927ED">
              <w:rPr>
                <w:rFonts w:ascii="MS PMincho" w:eastAsia="MS PMincho" w:hAnsi="MS PMincho" w:hint="eastAsia"/>
                <w:b/>
                <w:color w:val="FF0000"/>
                <w:spacing w:val="0"/>
                <w:sz w:val="16"/>
                <w:szCs w:val="18"/>
              </w:rPr>
              <w:t>※</w:t>
            </w:r>
            <w:r w:rsidRPr="00C13F4C">
              <w:rPr>
                <w:rFonts w:ascii="MS PMincho" w:eastAsia="MS PMincho" w:hAnsi="MS PMincho"/>
                <w:b/>
                <w:color w:val="FF0000"/>
                <w:spacing w:val="0"/>
                <w:sz w:val="16"/>
                <w:szCs w:val="18"/>
              </w:rPr>
              <w:t>Please describe following three items briefly</w:t>
            </w:r>
            <w:r>
              <w:rPr>
                <w:rFonts w:ascii="MS PMincho" w:eastAsia="MS PMincho" w:hAnsi="MS PMincho" w:hint="eastAsia"/>
                <w:b/>
                <w:color w:val="FF0000"/>
                <w:spacing w:val="0"/>
                <w:sz w:val="16"/>
                <w:szCs w:val="18"/>
              </w:rPr>
              <w:t>.</w:t>
            </w:r>
          </w:p>
          <w:p w14:paraId="2E2165E4" w14:textId="4F097401" w:rsidR="00596D90"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The major results</w:t>
            </w:r>
            <w:r w:rsidRPr="005927ED">
              <w:rPr>
                <w:rFonts w:ascii="MS PMincho" w:eastAsia="MS PMincho" w:hAnsi="MS PMincho" w:hint="eastAsia"/>
                <w:spacing w:val="0"/>
              </w:rPr>
              <w:t>】</w:t>
            </w:r>
          </w:p>
          <w:p w14:paraId="2A3121DF" w14:textId="6AD63AC7" w:rsidR="00F56C63" w:rsidRDefault="00F56C63" w:rsidP="005A04CE">
            <w:pPr>
              <w:pStyle w:val="a"/>
              <w:wordWrap/>
              <w:spacing w:line="288" w:lineRule="atLeast"/>
              <w:rPr>
                <w:rFonts w:ascii="MS PMincho" w:eastAsia="MS PMincho" w:hAnsi="MS PMincho"/>
                <w:spacing w:val="0"/>
              </w:rPr>
            </w:pPr>
            <w:r w:rsidRPr="00F56C63">
              <w:rPr>
                <w:rFonts w:ascii="MS PMincho" w:eastAsia="MS PMincho" w:hAnsi="MS PMincho"/>
                <w:spacing w:val="0"/>
              </w:rPr>
              <w:t xml:space="preserve">The tensile performance of a novel dilute Mg-Ca-Y-Zn-Mn alloy processed by rapidly solidified ribbon consolidation (RSRC) technique was investigated in situ by X-ray diffraction using synchrotron radiation. Moreover, the same study was performed on specimens annealed at 300 and 400 </w:t>
            </w:r>
            <w:r>
              <w:rPr>
                <w:rFonts w:ascii="MS PMincho" w:eastAsia="MS PMincho" w:hAnsi="MS PMincho" w:hint="eastAsia"/>
                <w:spacing w:val="0"/>
              </w:rPr>
              <w:t>°</w:t>
            </w:r>
            <w:r w:rsidRPr="00F56C63">
              <w:rPr>
                <w:rFonts w:ascii="MS PMincho" w:eastAsia="MS PMincho" w:hAnsi="MS PMincho"/>
                <w:spacing w:val="0"/>
              </w:rPr>
              <w:t xml:space="preserve">C for 2 h after RSRC processing. It was found that annealing at 300 °C had no considerable influence on the microstructure and, thus, on the tensile performance. On the other hand, the heat treatment at 400 °C yielded an increase of the recrystallized material fraction and the average grain size, coarsening of the secondary Mg2Ca phase particles as well as a decrease of the intensity of </w:t>
            </w:r>
            <w:r w:rsidRPr="00F56C63">
              <w:rPr>
                <w:rFonts w:ascii="Cambria Math" w:eastAsia="MS PMincho" w:hAnsi="Cambria Math" w:cs="Cambria Math"/>
                <w:spacing w:val="0"/>
              </w:rPr>
              <w:t>〈</w:t>
            </w:r>
            <w:r w:rsidRPr="00F56C63">
              <w:rPr>
                <w:rFonts w:ascii="MS PMincho" w:eastAsia="MS PMincho" w:hAnsi="MS PMincho"/>
                <w:spacing w:val="0"/>
              </w:rPr>
              <w:t>10</w:t>
            </w:r>
            <w:r>
              <w:rPr>
                <w:rFonts w:ascii="MS PMincho" w:eastAsia="MS PMincho" w:hAnsi="MS PMincho"/>
                <w:spacing w:val="0"/>
              </w:rPr>
              <w:t>-</w:t>
            </w:r>
            <w:r w:rsidRPr="00F56C63">
              <w:rPr>
                <w:rFonts w:ascii="MS PMincho" w:eastAsia="MS PMincho" w:hAnsi="MS PMincho"/>
                <w:spacing w:val="0"/>
              </w:rPr>
              <w:t>10</w:t>
            </w:r>
            <w:r w:rsidRPr="00F56C63">
              <w:rPr>
                <w:rFonts w:ascii="Cambria Math" w:eastAsia="MS PMincho" w:hAnsi="Cambria Math" w:cs="Cambria Math"/>
                <w:spacing w:val="0"/>
              </w:rPr>
              <w:t>〉</w:t>
            </w:r>
            <w:r w:rsidRPr="00F56C63">
              <w:rPr>
                <w:rFonts w:ascii="MS PMincho" w:eastAsia="MS PMincho" w:hAnsi="MS PMincho"/>
                <w:spacing w:val="0"/>
              </w:rPr>
              <w:t xml:space="preserve"> fiber texture. The latter effect caused twinning during tension which contributed to the increase in strain hardening with increasing strain. Due to the texture, mostly non-basal &lt;a&gt; dislocations developed during tensile testing. The interaction between the dominant prismatic &lt;a&gt; dislocations can result in immobile dislocations, which can contribute to the enhanced hardening observed at higher strains.</w:t>
            </w:r>
          </w:p>
          <w:p w14:paraId="564A0AC0" w14:textId="77777777" w:rsidR="00F56C63" w:rsidRPr="005927ED" w:rsidRDefault="00F56C63" w:rsidP="005A04CE">
            <w:pPr>
              <w:pStyle w:val="a"/>
              <w:wordWrap/>
              <w:spacing w:line="288" w:lineRule="atLeast"/>
              <w:rPr>
                <w:rFonts w:ascii="MS PMincho" w:eastAsia="MS PMincho" w:hAnsi="MS PMincho"/>
                <w:spacing w:val="0"/>
              </w:rPr>
            </w:pPr>
          </w:p>
          <w:p w14:paraId="693DB19D" w14:textId="50116C32" w:rsidR="00F56C63" w:rsidRPr="00F56C63" w:rsidRDefault="00F56C63" w:rsidP="00F56C63">
            <w:pPr>
              <w:pStyle w:val="a"/>
              <w:spacing w:line="288" w:lineRule="atLeast"/>
              <w:rPr>
                <w:rFonts w:ascii="MS PMincho" w:eastAsia="MS PMincho" w:hAnsi="MS PMincho"/>
              </w:rPr>
            </w:pPr>
            <w:r w:rsidRPr="00F56C63">
              <w:rPr>
                <w:rFonts w:ascii="MS PMincho" w:eastAsia="MS PMincho" w:hAnsi="MS PMincho"/>
              </w:rPr>
              <w:t xml:space="preserve">The deformation mechanisms resulting in enhanced mechanical properties of the low-alloyed rapidlysolidified MgZnYAl alloy have been analyzed using an advanced </w:t>
            </w:r>
            <w:r w:rsidRPr="00F56C63">
              <w:rPr>
                <w:rFonts w:ascii="MS PMincho" w:eastAsia="MS PMincho" w:hAnsi="MS PMincho"/>
                <w:iCs/>
              </w:rPr>
              <w:t>in-situ</w:t>
            </w:r>
            <w:r w:rsidRPr="00F56C63">
              <w:rPr>
                <w:rFonts w:ascii="MS PMincho" w:eastAsia="MS PMincho" w:hAnsi="MS PMincho"/>
              </w:rPr>
              <w:t xml:space="preserve"> </w:t>
            </w:r>
            <w:r w:rsidR="00E0532A" w:rsidRPr="00E0532A">
              <w:rPr>
                <w:rFonts w:ascii="MS PMincho" w:eastAsia="MS PMincho" w:hAnsi="MS PMincho"/>
              </w:rPr>
              <w:t xml:space="preserve">acoustic emission (AE) </w:t>
            </w:r>
            <w:r w:rsidRPr="00F56C63">
              <w:rPr>
                <w:rFonts w:ascii="MS PMincho" w:eastAsia="MS PMincho" w:hAnsi="MS PMincho"/>
              </w:rPr>
              <w:t xml:space="preserve">technique supplemented by SEM and the XRD measurements. In addition, post-processing heat treatment </w:t>
            </w:r>
            <w:r w:rsidR="00E0532A">
              <w:rPr>
                <w:rFonts w:ascii="MS PMincho" w:eastAsia="MS PMincho" w:hAnsi="MS PMincho"/>
              </w:rPr>
              <w:t xml:space="preserve">(HT) </w:t>
            </w:r>
            <w:r w:rsidRPr="00F56C63">
              <w:rPr>
                <w:rFonts w:ascii="MS PMincho" w:eastAsia="MS PMincho" w:hAnsi="MS PMincho"/>
              </w:rPr>
              <w:t>at 300 and 400 °C was applied to assess microstructure stability and its influence o</w:t>
            </w:r>
            <w:r w:rsidR="00CD30B0">
              <w:rPr>
                <w:rFonts w:ascii="MS PMincho" w:eastAsia="MS PMincho" w:hAnsi="MS PMincho"/>
              </w:rPr>
              <w:t xml:space="preserve">n </w:t>
            </w:r>
            <w:r w:rsidRPr="00F56C63">
              <w:rPr>
                <w:rFonts w:ascii="MS PMincho" w:eastAsia="MS PMincho" w:hAnsi="MS PMincho"/>
              </w:rPr>
              <w:t>mechanical properties. The ASK clustering of AE signal provides otherwise unrevealed information about the dynamics of the deformation mechanisms. The following conclusions were drawn from the results:</w:t>
            </w:r>
          </w:p>
          <w:p w14:paraId="7ED3D668" w14:textId="7EAAAE09" w:rsidR="00F56C63" w:rsidRPr="00F56C63" w:rsidRDefault="00F56C63" w:rsidP="00E0532A">
            <w:pPr>
              <w:pStyle w:val="a"/>
              <w:spacing w:line="288" w:lineRule="atLeast"/>
              <w:rPr>
                <w:rFonts w:ascii="MS PMincho" w:eastAsia="MS PMincho" w:hAnsi="MS PMincho"/>
              </w:rPr>
            </w:pPr>
            <w:r w:rsidRPr="00F56C63">
              <w:rPr>
                <w:rFonts w:ascii="MS PMincho" w:eastAsia="MS PMincho" w:hAnsi="MS PMincho"/>
              </w:rPr>
              <w:t xml:space="preserve">Twinning is observed only in compression. Although the </w:t>
            </w:r>
            <w:r w:rsidRPr="00F56C63">
              <w:rPr>
                <w:rFonts w:ascii="MS PMincho" w:eastAsia="MS PMincho" w:hAnsi="MS PMincho"/>
                <w:bCs/>
              </w:rPr>
              <w:t>twin volume fractions in</w:t>
            </w:r>
            <w:r w:rsidRPr="00F56C63">
              <w:rPr>
                <w:rFonts w:ascii="MS PMincho" w:eastAsia="MS PMincho" w:hAnsi="MS PMincho"/>
              </w:rPr>
              <w:t xml:space="preserve"> non-HT and HT@400 samples are comparable, the ASK analysis </w:t>
            </w:r>
            <w:r w:rsidR="00BF59B3">
              <w:rPr>
                <w:rFonts w:ascii="MS PMincho" w:eastAsia="MS PMincho" w:hAnsi="MS PMincho"/>
              </w:rPr>
              <w:t xml:space="preserve">of AE signal </w:t>
            </w:r>
            <w:r w:rsidRPr="00F56C63">
              <w:rPr>
                <w:rFonts w:ascii="MS PMincho" w:eastAsia="MS PMincho" w:hAnsi="MS PMincho"/>
              </w:rPr>
              <w:t>indicates a more dominant activity of the twin nucleation in HT@400 state, which is linked to the more homogeneous microstructure after recrystallization and grain size sensitivity of twin nucleation.</w:t>
            </w:r>
          </w:p>
          <w:p w14:paraId="1FD55615" w14:textId="1340C3CD" w:rsidR="00F56C63" w:rsidRPr="00F56C63" w:rsidRDefault="00F56C63" w:rsidP="00E0532A">
            <w:pPr>
              <w:pStyle w:val="a"/>
              <w:spacing w:line="288" w:lineRule="atLeast"/>
              <w:rPr>
                <w:rFonts w:ascii="MS PMincho" w:eastAsia="MS PMincho" w:hAnsi="MS PMincho"/>
              </w:rPr>
            </w:pPr>
            <w:r w:rsidRPr="00F56C63">
              <w:rPr>
                <w:rFonts w:ascii="MS PMincho" w:eastAsia="MS PMincho" w:hAnsi="MS PMincho"/>
              </w:rPr>
              <w:t>During both tension and compression, two clusters assigned to dislocation slip were identified</w:t>
            </w:r>
            <w:r w:rsidRPr="00F56C63">
              <w:rPr>
                <w:rFonts w:ascii="MS PMincho" w:eastAsia="MS PMincho" w:hAnsi="MS PMincho"/>
                <w:iCs/>
              </w:rPr>
              <w:t>, however, indicating different types of their activities.</w:t>
            </w:r>
            <w:r w:rsidRPr="00F56C63">
              <w:rPr>
                <w:rFonts w:ascii="MS PMincho" w:eastAsia="MS PMincho" w:hAnsi="MS PMincho"/>
              </w:rPr>
              <w:t xml:space="preserve"> The first cluster corresponds to continuous unimpeded</w:t>
            </w:r>
            <w:r w:rsidRPr="00F56C63">
              <w:rPr>
                <w:rFonts w:ascii="MS PMincho" w:eastAsia="MS PMincho" w:hAnsi="MS PMincho"/>
                <w:lang w:val="cs-CZ"/>
              </w:rPr>
              <w:t xml:space="preserve"> </w:t>
            </w:r>
            <w:r w:rsidRPr="00F56C63">
              <w:rPr>
                <w:rFonts w:ascii="MS PMincho" w:eastAsia="MS PMincho" w:hAnsi="MS PMincho"/>
              </w:rPr>
              <w:t>glide of</w:t>
            </w:r>
            <w:r w:rsidRPr="00F56C63">
              <w:rPr>
                <w:rFonts w:ascii="MS PMincho" w:eastAsia="MS PMincho" w:hAnsi="MS PMincho"/>
                <w:lang w:val="cs-CZ"/>
              </w:rPr>
              <w:t xml:space="preserve"> </w:t>
            </w:r>
            <w:r w:rsidRPr="00F56C63">
              <w:rPr>
                <w:rFonts w:ascii="MS PMincho" w:eastAsia="MS PMincho" w:hAnsi="MS PMincho"/>
              </w:rPr>
              <w:t xml:space="preserve">non-basal </w:t>
            </w:r>
            <m:oMath>
              <m:d>
                <m:dPr>
                  <m:begChr m:val="〈"/>
                  <m:endChr m:val="〉"/>
                  <m:ctrlPr>
                    <w:rPr>
                      <w:rFonts w:ascii="Cambria Math" w:eastAsia="MS PMincho" w:hAnsi="Cambria Math"/>
                      <w:i/>
                    </w:rPr>
                  </m:ctrlPr>
                </m:dPr>
                <m:e>
                  <m:r>
                    <w:rPr>
                      <w:rFonts w:ascii="Cambria Math" w:eastAsia="MS PMincho" w:hAnsi="Cambria Math"/>
                    </w:rPr>
                    <m:t>a</m:t>
                  </m:r>
                </m:e>
              </m:d>
            </m:oMath>
            <w:r w:rsidRPr="00F56C63">
              <w:rPr>
                <w:rFonts w:ascii="MS PMincho" w:eastAsia="MS PMincho" w:hAnsi="MS PMincho"/>
              </w:rPr>
              <w:t xml:space="preserve"> dislocation slip in grains, whereas the second one is associated with </w:t>
            </w:r>
            <w:r w:rsidRPr="00F56C63">
              <w:rPr>
                <w:rFonts w:ascii="MS PMincho" w:eastAsia="MS PMincho" w:hAnsi="MS PMincho"/>
              </w:rPr>
              <w:lastRenderedPageBreak/>
              <w:t xml:space="preserve">jerky dislocation movement caused by the interaction of newly formed prismatic </w:t>
            </w:r>
            <m:oMath>
              <m:d>
                <m:dPr>
                  <m:begChr m:val="〈"/>
                  <m:endChr m:val="〉"/>
                  <m:ctrlPr>
                    <w:rPr>
                      <w:rFonts w:ascii="Cambria Math" w:eastAsia="MS PMincho" w:hAnsi="Cambria Math"/>
                      <w:i/>
                    </w:rPr>
                  </m:ctrlPr>
                </m:dPr>
                <m:e>
                  <m:r>
                    <w:rPr>
                      <w:rFonts w:ascii="Cambria Math" w:eastAsia="MS PMincho" w:hAnsi="Cambria Math"/>
                    </w:rPr>
                    <m:t>a</m:t>
                  </m:r>
                </m:e>
              </m:d>
            </m:oMath>
            <w:r w:rsidRPr="00F56C63">
              <w:rPr>
                <w:rFonts w:ascii="MS PMincho" w:eastAsia="MS PMincho" w:hAnsi="MS PMincho"/>
              </w:rPr>
              <w:t xml:space="preserve"> dislocations with other dislocation-type obstacles. The analysis </w:t>
            </w:r>
            <w:r w:rsidR="00BF59B3">
              <w:rPr>
                <w:rFonts w:ascii="MS PMincho" w:eastAsia="MS PMincho" w:hAnsi="MS PMincho"/>
              </w:rPr>
              <w:t xml:space="preserve">of X-ray diffraction peak profiles </w:t>
            </w:r>
            <w:r w:rsidRPr="00F56C63">
              <w:rPr>
                <w:rFonts w:ascii="MS PMincho" w:eastAsia="MS PMincho" w:hAnsi="MS PMincho"/>
              </w:rPr>
              <w:t xml:space="preserve">confirms the dominancy of non-basal </w:t>
            </w:r>
            <m:oMath>
              <m:d>
                <m:dPr>
                  <m:begChr m:val="〈"/>
                  <m:endChr m:val="〉"/>
                  <m:ctrlPr>
                    <w:rPr>
                      <w:rFonts w:ascii="Cambria Math" w:eastAsia="MS PMincho" w:hAnsi="Cambria Math"/>
                      <w:i/>
                    </w:rPr>
                  </m:ctrlPr>
                </m:dPr>
                <m:e>
                  <m:r>
                    <w:rPr>
                      <w:rFonts w:ascii="Cambria Math" w:eastAsia="MS PMincho" w:hAnsi="Cambria Math"/>
                    </w:rPr>
                    <m:t>a</m:t>
                  </m:r>
                </m:e>
              </m:d>
            </m:oMath>
            <w:r w:rsidRPr="00F56C63">
              <w:rPr>
                <w:rFonts w:ascii="MS PMincho" w:eastAsia="MS PMincho" w:hAnsi="MS PMincho"/>
              </w:rPr>
              <w:t xml:space="preserve"> dislocations in the overall population of </w:t>
            </w:r>
            <m:oMath>
              <m:d>
                <m:dPr>
                  <m:begChr m:val="〈"/>
                  <m:endChr m:val="〉"/>
                  <m:ctrlPr>
                    <w:rPr>
                      <w:rFonts w:ascii="Cambria Math" w:eastAsia="MS PMincho" w:hAnsi="Cambria Math"/>
                      <w:i/>
                    </w:rPr>
                  </m:ctrlPr>
                </m:dPr>
                <m:e>
                  <m:r>
                    <w:rPr>
                      <w:rFonts w:ascii="Cambria Math" w:eastAsia="MS PMincho" w:hAnsi="Cambria Math"/>
                    </w:rPr>
                    <m:t>a</m:t>
                  </m:r>
                </m:e>
              </m:d>
            </m:oMath>
            <w:r w:rsidRPr="00F56C63">
              <w:rPr>
                <w:rFonts w:ascii="MS PMincho" w:eastAsia="MS PMincho" w:hAnsi="MS PMincho"/>
              </w:rPr>
              <w:t xml:space="preserve"> type dislocations in both non-HT and HT@400 samples.</w:t>
            </w:r>
          </w:p>
          <w:p w14:paraId="565438AC" w14:textId="018BCDF3" w:rsidR="00F56C63" w:rsidRPr="00F56C63" w:rsidRDefault="00F56C63" w:rsidP="00E0532A">
            <w:pPr>
              <w:pStyle w:val="a"/>
              <w:spacing w:line="288" w:lineRule="atLeast"/>
              <w:rPr>
                <w:rFonts w:ascii="MS PMincho" w:eastAsia="MS PMincho" w:hAnsi="MS PMincho"/>
              </w:rPr>
            </w:pPr>
            <w:r w:rsidRPr="00F56C63">
              <w:rPr>
                <w:rFonts w:ascii="MS PMincho" w:eastAsia="MS PMincho" w:hAnsi="MS PMincho"/>
              </w:rPr>
              <w:t xml:space="preserve">Tensile deformation (independent of HT) is realized first by intensive non-basal </w:t>
            </w:r>
            <m:oMath>
              <m:d>
                <m:dPr>
                  <m:begChr m:val="〈"/>
                  <m:endChr m:val="〉"/>
                  <m:ctrlPr>
                    <w:rPr>
                      <w:rFonts w:ascii="Cambria Math" w:eastAsia="MS PMincho" w:hAnsi="Cambria Math"/>
                      <w:i/>
                    </w:rPr>
                  </m:ctrlPr>
                </m:dPr>
                <m:e>
                  <m:r>
                    <w:rPr>
                      <w:rFonts w:ascii="Cambria Math" w:eastAsia="MS PMincho" w:hAnsi="Cambria Math"/>
                    </w:rPr>
                    <m:t>a</m:t>
                  </m:r>
                </m:e>
              </m:d>
            </m:oMath>
            <w:r w:rsidRPr="00F56C63">
              <w:rPr>
                <w:rFonts w:ascii="MS PMincho" w:eastAsia="MS PMincho" w:hAnsi="MS PMincho"/>
              </w:rPr>
              <w:t xml:space="preserve"> slip, followed by less active slip hindered by basal jogs until the dislocation system reaches a critical state, after which pinned dislocations are reactivated. During compression, competition in dominance of the two slip-related clusters is explained by simultaneous activity of several non-basal </w:t>
            </w:r>
            <m:oMath>
              <m:d>
                <m:dPr>
                  <m:begChr m:val="〈"/>
                  <m:endChr m:val="〉"/>
                  <m:ctrlPr>
                    <w:rPr>
                      <w:rFonts w:ascii="Cambria Math" w:eastAsia="MS PMincho" w:hAnsi="Cambria Math"/>
                      <w:i/>
                    </w:rPr>
                  </m:ctrlPr>
                </m:dPr>
                <m:e>
                  <m:r>
                    <w:rPr>
                      <w:rFonts w:ascii="Cambria Math" w:eastAsia="MS PMincho" w:hAnsi="Cambria Math"/>
                    </w:rPr>
                    <m:t>a</m:t>
                  </m:r>
                </m:e>
              </m:d>
            </m:oMath>
            <w:r w:rsidRPr="00F56C63">
              <w:rPr>
                <w:rFonts w:ascii="MS PMincho" w:eastAsia="MS PMincho" w:hAnsi="MS PMincho"/>
              </w:rPr>
              <w:t xml:space="preserve"> slip systems and pyramidal </w:t>
            </w:r>
            <m:oMath>
              <m:d>
                <m:dPr>
                  <m:begChr m:val="〈"/>
                  <m:endChr m:val="〉"/>
                  <m:ctrlPr>
                    <w:rPr>
                      <w:rFonts w:ascii="Cambria Math" w:eastAsia="MS PMincho" w:hAnsi="Cambria Math"/>
                      <w:i/>
                    </w:rPr>
                  </m:ctrlPr>
                </m:dPr>
                <m:e>
                  <m:r>
                    <w:rPr>
                      <w:rFonts w:ascii="Cambria Math" w:eastAsia="MS PMincho" w:hAnsi="Cambria Math"/>
                    </w:rPr>
                    <m:t>c+a</m:t>
                  </m:r>
                </m:e>
              </m:d>
            </m:oMath>
            <w:r w:rsidRPr="00F56C63">
              <w:rPr>
                <w:rFonts w:ascii="MS PMincho" w:eastAsia="MS PMincho" w:hAnsi="MS PMincho"/>
              </w:rPr>
              <w:t xml:space="preserve"> slip with twinning influencing this interplay. During compression of the HT@400 sample, unimpeded</w:t>
            </w:r>
            <w:r w:rsidRPr="00F56C63">
              <w:rPr>
                <w:rFonts w:ascii="MS PMincho" w:eastAsia="MS PMincho" w:hAnsi="MS PMincho"/>
                <w:lang w:val="cs-CZ"/>
              </w:rPr>
              <w:t xml:space="preserve"> </w:t>
            </w:r>
            <w:r w:rsidRPr="00F56C63">
              <w:rPr>
                <w:rFonts w:ascii="MS PMincho" w:eastAsia="MS PMincho" w:hAnsi="MS PMincho"/>
              </w:rPr>
              <w:t xml:space="preserve">slip becomes dominant due to promoted twinning </w:t>
            </w:r>
          </w:p>
          <w:p w14:paraId="524EB01F" w14:textId="4FF4208C" w:rsidR="00596D90" w:rsidRPr="005927ED" w:rsidRDefault="00F56C63" w:rsidP="00F56C63">
            <w:pPr>
              <w:pStyle w:val="a"/>
              <w:wordWrap/>
              <w:spacing w:line="288" w:lineRule="atLeast"/>
              <w:rPr>
                <w:rFonts w:ascii="MS PMincho" w:eastAsia="MS PMincho" w:hAnsi="MS PMincho"/>
                <w:spacing w:val="0"/>
              </w:rPr>
            </w:pPr>
            <w:r w:rsidRPr="00F56C63">
              <w:rPr>
                <w:rFonts w:ascii="MS PMincho" w:eastAsia="MS PMincho" w:hAnsi="MS PMincho"/>
                <w:spacing w:val="0"/>
              </w:rPr>
              <w:t>Considering overall comparable contribution of twinning during compression of non-HT and HT samples, the reverse tension</w:t>
            </w:r>
            <w:r w:rsidR="00BF59B3">
              <w:rPr>
                <w:rFonts w:ascii="MS PMincho" w:eastAsia="MS PMincho" w:hAnsi="MS PMincho"/>
                <w:spacing w:val="0"/>
              </w:rPr>
              <w:t xml:space="preserve"> (T) </w:t>
            </w:r>
            <w:r w:rsidRPr="00F56C63">
              <w:rPr>
                <w:rFonts w:ascii="MS PMincho" w:eastAsia="MS PMincho" w:hAnsi="MS PMincho"/>
                <w:spacing w:val="0"/>
              </w:rPr>
              <w:t>-</w:t>
            </w:r>
            <w:r w:rsidR="00BF59B3">
              <w:rPr>
                <w:rFonts w:ascii="MS PMincho" w:eastAsia="MS PMincho" w:hAnsi="MS PMincho"/>
                <w:spacing w:val="0"/>
              </w:rPr>
              <w:t xml:space="preserve"> </w:t>
            </w:r>
            <w:r w:rsidRPr="00F56C63">
              <w:rPr>
                <w:rFonts w:ascii="MS PMincho" w:eastAsia="MS PMincho" w:hAnsi="MS PMincho"/>
                <w:spacing w:val="0"/>
              </w:rPr>
              <w:t xml:space="preserve">compression </w:t>
            </w:r>
            <w:r w:rsidR="00BF59B3">
              <w:rPr>
                <w:rFonts w:ascii="MS PMincho" w:eastAsia="MS PMincho" w:hAnsi="MS PMincho"/>
                <w:spacing w:val="0"/>
              </w:rPr>
              <w:t>(C) yield strength (</w:t>
            </w:r>
            <w:r w:rsidRPr="00F56C63">
              <w:rPr>
                <w:rFonts w:ascii="MS PMincho" w:eastAsia="MS PMincho" w:hAnsi="MS PMincho"/>
                <w:spacing w:val="0"/>
              </w:rPr>
              <w:t>YS</w:t>
            </w:r>
            <w:r w:rsidR="00BF59B3">
              <w:rPr>
                <w:rFonts w:ascii="MS PMincho" w:eastAsia="MS PMincho" w:hAnsi="MS PMincho"/>
                <w:spacing w:val="0"/>
              </w:rPr>
              <w:t>)</w:t>
            </w:r>
            <w:r w:rsidRPr="00F56C63">
              <w:rPr>
                <w:rFonts w:ascii="MS PMincho" w:eastAsia="MS PMincho" w:hAnsi="MS PMincho"/>
                <w:spacing w:val="0"/>
              </w:rPr>
              <w:t xml:space="preserve"> asymmetry (TYS&lt;CYS for non-HT and HT@300 samples) and its inversion to conventional case (TYS&gt;CYS for HT@400 specimen) is attributed to variation in dislocation slip activity around YP. The higher interaction of non-basal dislocations with obstacles, such as </w:t>
            </w:r>
            <w:r w:rsidR="004E1509" w:rsidRPr="004E1509">
              <w:rPr>
                <w:rFonts w:ascii="MS PMincho" w:eastAsia="MS PMincho" w:hAnsi="MS PMincho"/>
                <w:spacing w:val="0"/>
              </w:rPr>
              <w:t>cluster-arranged layers (CALs)</w:t>
            </w:r>
            <w:r w:rsidR="004E1509">
              <w:rPr>
                <w:rFonts w:ascii="MS PMincho" w:eastAsia="MS PMincho" w:hAnsi="MS PMincho"/>
                <w:spacing w:val="0"/>
              </w:rPr>
              <w:t>,</w:t>
            </w:r>
            <w:r w:rsidR="004E1509" w:rsidRPr="004E1509">
              <w:rPr>
                <w:rFonts w:ascii="MS PMincho" w:eastAsia="MS PMincho" w:hAnsi="MS PMincho"/>
                <w:spacing w:val="0"/>
              </w:rPr>
              <w:t xml:space="preserve"> cluster-arranged nanoplates (CANaPs)</w:t>
            </w:r>
            <w:r w:rsidRPr="00F56C63">
              <w:rPr>
                <w:rFonts w:ascii="MS PMincho" w:eastAsia="MS PMincho" w:hAnsi="MS PMincho"/>
                <w:spacing w:val="0"/>
              </w:rPr>
              <w:t xml:space="preserve">, basal jogs, pinned non-basal dislocations, leads to distinct </w:t>
            </w:r>
            <w:r w:rsidR="00BF59B3">
              <w:rPr>
                <w:rFonts w:ascii="MS PMincho" w:eastAsia="MS PMincho" w:hAnsi="MS PMincho"/>
                <w:spacing w:val="0"/>
              </w:rPr>
              <w:t>yield point</w:t>
            </w:r>
            <w:r w:rsidRPr="00F56C63">
              <w:rPr>
                <w:rFonts w:ascii="MS PMincho" w:eastAsia="MS PMincho" w:hAnsi="MS PMincho"/>
                <w:spacing w:val="0"/>
              </w:rPr>
              <w:t xml:space="preserve"> phenomenon.</w:t>
            </w:r>
          </w:p>
          <w:p w14:paraId="2FC77C5D" w14:textId="77777777" w:rsidR="00596D90" w:rsidRPr="005927ED" w:rsidRDefault="00596D90" w:rsidP="005A04CE">
            <w:pPr>
              <w:pStyle w:val="a"/>
              <w:wordWrap/>
              <w:spacing w:line="288" w:lineRule="atLeast"/>
              <w:rPr>
                <w:rFonts w:ascii="MS PMincho" w:eastAsia="MS PMincho" w:hAnsi="MS PMincho"/>
                <w:spacing w:val="0"/>
              </w:rPr>
            </w:pPr>
          </w:p>
          <w:p w14:paraId="3B8630F0" w14:textId="1182A815" w:rsidR="00596D90" w:rsidRPr="005927ED" w:rsidRDefault="009D0FAB" w:rsidP="005A04CE">
            <w:pPr>
              <w:pStyle w:val="a"/>
              <w:wordWrap/>
              <w:spacing w:line="288" w:lineRule="atLeast"/>
              <w:rPr>
                <w:rFonts w:ascii="MS PMincho" w:eastAsia="MS PMincho" w:hAnsi="MS PMincho"/>
                <w:spacing w:val="0"/>
              </w:rPr>
            </w:pPr>
            <w:r>
              <w:rPr>
                <w:rFonts w:ascii="MS PMincho" w:eastAsia="MS PMincho" w:hAnsi="MS PMincho"/>
                <w:spacing w:val="0"/>
              </w:rPr>
              <w:t xml:space="preserve">In addition to the scientific results on Mg alloys, the principal investigator published a paper on the </w:t>
            </w:r>
            <w:r w:rsidRPr="00CC716C">
              <w:rPr>
                <w:rFonts w:ascii="MS PMincho" w:eastAsia="MS PMincho" w:hAnsi="MS PMincho"/>
              </w:rPr>
              <w:t xml:space="preserve">incorrectly used term </w:t>
            </w:r>
            <w:r>
              <w:rPr>
                <w:rFonts w:ascii="MS PMincho" w:eastAsia="MS PMincho" w:hAnsi="MS PMincho"/>
              </w:rPr>
              <w:t>of “s</w:t>
            </w:r>
            <w:r w:rsidRPr="00CC716C">
              <w:rPr>
                <w:rFonts w:ascii="MS PMincho" w:eastAsia="MS PMincho" w:hAnsi="MS PMincho"/>
              </w:rPr>
              <w:t>trength-ductility synergy</w:t>
            </w:r>
            <w:r>
              <w:rPr>
                <w:rFonts w:ascii="MS PMincho" w:eastAsia="MS PMincho" w:hAnsi="MS PMincho"/>
              </w:rPr>
              <w:t>”</w:t>
            </w:r>
            <w:r w:rsidR="002D7278">
              <w:rPr>
                <w:rFonts w:ascii="MS PMincho" w:eastAsia="MS PMincho" w:hAnsi="MS PMincho"/>
              </w:rPr>
              <w:t xml:space="preserve"> </w:t>
            </w:r>
            <w:r w:rsidR="008E6660">
              <w:rPr>
                <w:rFonts w:ascii="MS PMincho" w:eastAsia="MS PMincho" w:hAnsi="MS PMincho"/>
              </w:rPr>
              <w:t>in the frame</w:t>
            </w:r>
            <w:r w:rsidR="002D7278">
              <w:rPr>
                <w:rFonts w:ascii="MS PMincho" w:eastAsia="MS PMincho" w:hAnsi="MS PMincho"/>
              </w:rPr>
              <w:t xml:space="preserve"> of this project</w:t>
            </w:r>
            <w:r>
              <w:rPr>
                <w:rFonts w:ascii="MS PMincho" w:eastAsia="MS PMincho" w:hAnsi="MS PMincho"/>
              </w:rPr>
              <w:t>.</w:t>
            </w:r>
            <w:r w:rsidRPr="00CC716C">
              <w:rPr>
                <w:rFonts w:ascii="MS PMincho" w:eastAsia="MS PMincho" w:hAnsi="MS PMincho"/>
              </w:rPr>
              <w:t xml:space="preserve"> </w:t>
            </w:r>
            <w:r w:rsidR="00E31460" w:rsidRPr="00E31460">
              <w:rPr>
                <w:rFonts w:ascii="MS PMincho" w:eastAsia="MS PMincho" w:hAnsi="MS PMincho"/>
              </w:rPr>
              <w:t xml:space="preserve">One of the hottest research topic in the field of plasticity of materials is the investigation of the ways </w:t>
            </w:r>
            <w:r w:rsidR="004745EE">
              <w:rPr>
                <w:rFonts w:ascii="MS PMincho" w:eastAsia="MS PMincho" w:hAnsi="MS PMincho"/>
              </w:rPr>
              <w:t>of</w:t>
            </w:r>
            <w:r w:rsidR="00E31460" w:rsidRPr="00E31460">
              <w:rPr>
                <w:rFonts w:ascii="MS PMincho" w:eastAsia="MS PMincho" w:hAnsi="MS PMincho"/>
              </w:rPr>
              <w:t xml:space="preserve"> achieving a combination of high mechanical strength and good ductility in metallic materials. Typically, the strength and ductility behave </w:t>
            </w:r>
            <w:r w:rsidR="004745EE">
              <w:rPr>
                <w:rFonts w:ascii="MS PMincho" w:eastAsia="MS PMincho" w:hAnsi="MS PMincho"/>
              </w:rPr>
              <w:t>i</w:t>
            </w:r>
            <w:r w:rsidR="00E31460" w:rsidRPr="00E31460">
              <w:rPr>
                <w:rFonts w:ascii="MS PMincho" w:eastAsia="MS PMincho" w:hAnsi="MS PMincho"/>
              </w:rPr>
              <w:t xml:space="preserve">n an inverse way, i.e., strong materials are brittle, while highly ductile materials tend to have </w:t>
            </w:r>
            <w:r w:rsidR="004745EE">
              <w:rPr>
                <w:rFonts w:ascii="MS PMincho" w:eastAsia="MS PMincho" w:hAnsi="MS PMincho"/>
              </w:rPr>
              <w:t xml:space="preserve">a </w:t>
            </w:r>
            <w:r w:rsidR="00E31460" w:rsidRPr="00E31460">
              <w:rPr>
                <w:rFonts w:ascii="MS PMincho" w:eastAsia="MS PMincho" w:hAnsi="MS PMincho"/>
              </w:rPr>
              <w:t>lower strength. Overcoming this apparent incompatibility is a great task in materials science.</w:t>
            </w:r>
            <w:r w:rsidR="00E31460">
              <w:rPr>
                <w:rFonts w:ascii="MS PMincho" w:eastAsia="MS PMincho" w:hAnsi="MS PMincho"/>
              </w:rPr>
              <w:t xml:space="preserve"> Since this is a hot topic in materials science, many papers are published promising solution</w:t>
            </w:r>
            <w:r w:rsidR="004745EE">
              <w:rPr>
                <w:rFonts w:ascii="MS PMincho" w:eastAsia="MS PMincho" w:hAnsi="MS PMincho"/>
              </w:rPr>
              <w:t>s</w:t>
            </w:r>
            <w:r w:rsidR="00E31460">
              <w:rPr>
                <w:rFonts w:ascii="MS PMincho" w:eastAsia="MS PMincho" w:hAnsi="MS PMincho"/>
              </w:rPr>
              <w:t xml:space="preserve"> for the strength-ductility incompatibility. Unfortunately, most of these articles uses the term </w:t>
            </w:r>
            <w:r w:rsidR="00E31460">
              <w:rPr>
                <w:rFonts w:ascii="MS PMincho" w:eastAsia="MS PMincho" w:hAnsi="MS PMincho"/>
              </w:rPr>
              <w:t>“s</w:t>
            </w:r>
            <w:r w:rsidR="00E31460" w:rsidRPr="00CC716C">
              <w:rPr>
                <w:rFonts w:ascii="MS PMincho" w:eastAsia="MS PMincho" w:hAnsi="MS PMincho"/>
              </w:rPr>
              <w:t>trength-ductility synergy</w:t>
            </w:r>
            <w:r w:rsidR="00E31460">
              <w:rPr>
                <w:rFonts w:ascii="MS PMincho" w:eastAsia="MS PMincho" w:hAnsi="MS PMincho"/>
              </w:rPr>
              <w:t>”</w:t>
            </w:r>
            <w:r w:rsidR="00E31460">
              <w:rPr>
                <w:rFonts w:ascii="MS PMincho" w:eastAsia="MS PMincho" w:hAnsi="MS PMincho"/>
              </w:rPr>
              <w:t xml:space="preserve"> for the des</w:t>
            </w:r>
            <w:r w:rsidR="004745EE">
              <w:rPr>
                <w:rFonts w:ascii="MS PMincho" w:eastAsia="MS PMincho" w:hAnsi="MS PMincho"/>
              </w:rPr>
              <w:t>c</w:t>
            </w:r>
            <w:r w:rsidR="00E31460">
              <w:rPr>
                <w:rFonts w:ascii="MS PMincho" w:eastAsia="MS PMincho" w:hAnsi="MS PMincho"/>
              </w:rPr>
              <w:t xml:space="preserve">ription of the combination of good strength and improved ductility which is totally wrong. This </w:t>
            </w:r>
            <w:r w:rsidR="00855EFA">
              <w:rPr>
                <w:rFonts w:ascii="MS PMincho" w:eastAsia="MS PMincho" w:hAnsi="MS PMincho"/>
              </w:rPr>
              <w:t xml:space="preserve">issue </w:t>
            </w:r>
            <w:r w:rsidR="00E31460">
              <w:rPr>
                <w:rFonts w:ascii="MS PMincho" w:eastAsia="MS PMincho" w:hAnsi="MS PMincho"/>
              </w:rPr>
              <w:t>was clarified in a commentary</w:t>
            </w:r>
            <w:r w:rsidR="00855EFA">
              <w:rPr>
                <w:rFonts w:ascii="MS PMincho" w:eastAsia="MS PMincho" w:hAnsi="MS PMincho"/>
              </w:rPr>
              <w:t xml:space="preserve"> written by the principal investigator</w:t>
            </w:r>
            <w:r w:rsidR="00E31460">
              <w:rPr>
                <w:rFonts w:ascii="MS PMincho" w:eastAsia="MS PMincho" w:hAnsi="MS PMincho"/>
              </w:rPr>
              <w:t>.</w:t>
            </w:r>
          </w:p>
          <w:p w14:paraId="672FB2C8" w14:textId="77777777" w:rsidR="00855EFA" w:rsidRDefault="00855EFA" w:rsidP="005A04CE">
            <w:pPr>
              <w:pStyle w:val="a"/>
              <w:wordWrap/>
              <w:spacing w:line="288" w:lineRule="atLeast"/>
              <w:rPr>
                <w:rFonts w:ascii="MS PMincho" w:eastAsia="MS PMincho" w:hAnsi="MS PMincho"/>
                <w:spacing w:val="0"/>
              </w:rPr>
            </w:pPr>
          </w:p>
          <w:p w14:paraId="6A6CDD1F" w14:textId="59387D67"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Future Prospects</w:t>
            </w:r>
            <w:r w:rsidRPr="005927ED">
              <w:rPr>
                <w:rFonts w:ascii="MS PMincho" w:eastAsia="MS PMincho" w:hAnsi="MS PMincho" w:hint="eastAsia"/>
                <w:spacing w:val="0"/>
              </w:rPr>
              <w:t>】</w:t>
            </w:r>
          </w:p>
          <w:p w14:paraId="2C6A3A81" w14:textId="5A810F82" w:rsidR="00A16AEA" w:rsidRPr="005927ED" w:rsidRDefault="00855EFA" w:rsidP="005A04CE">
            <w:pPr>
              <w:pStyle w:val="a"/>
              <w:wordWrap/>
              <w:spacing w:line="288" w:lineRule="atLeast"/>
              <w:rPr>
                <w:rFonts w:ascii="MS PMincho" w:eastAsia="MS PMincho" w:hAnsi="MS PMincho"/>
                <w:spacing w:val="0"/>
              </w:rPr>
            </w:pPr>
            <w:r>
              <w:rPr>
                <w:rFonts w:ascii="MS PMincho" w:eastAsia="MS PMincho" w:hAnsi="MS PMincho"/>
                <w:spacing w:val="0"/>
              </w:rPr>
              <w:t>The cooperation partners would like to continue their collaboration in the field of the study of plastic behavior of novel Mg alloys by extending the investigations to new compositions.</w:t>
            </w:r>
          </w:p>
          <w:p w14:paraId="1B0D6485" w14:textId="77777777" w:rsidR="00596D90" w:rsidRPr="005927ED" w:rsidRDefault="00596D90" w:rsidP="005A04CE">
            <w:pPr>
              <w:pStyle w:val="a"/>
              <w:wordWrap/>
              <w:spacing w:line="288" w:lineRule="atLeast"/>
              <w:rPr>
                <w:rFonts w:ascii="MS PMincho" w:eastAsia="MS PMincho" w:hAnsi="MS PMincho"/>
                <w:spacing w:val="0"/>
              </w:rPr>
            </w:pPr>
          </w:p>
          <w:p w14:paraId="6BD61496" w14:textId="173100C5" w:rsidR="00596D90" w:rsidRPr="005927ED" w:rsidRDefault="00596D90" w:rsidP="005A04CE">
            <w:pPr>
              <w:pStyle w:val="a"/>
              <w:wordWrap/>
              <w:spacing w:line="288" w:lineRule="atLeast"/>
              <w:rPr>
                <w:rFonts w:ascii="MS PMincho" w:eastAsia="MS PMincho" w:hAnsi="MS PMincho"/>
                <w:spacing w:val="0"/>
              </w:rPr>
            </w:pPr>
            <w:r w:rsidRPr="005927ED">
              <w:rPr>
                <w:rFonts w:ascii="MS PMincho" w:eastAsia="MS PMincho" w:hAnsi="MS PMincho" w:hint="eastAsia"/>
                <w:spacing w:val="0"/>
              </w:rPr>
              <w:t>【</w:t>
            </w:r>
            <w:r w:rsidR="00C13F4C" w:rsidRPr="00C13F4C">
              <w:rPr>
                <w:rFonts w:ascii="MS PMincho" w:eastAsia="MS PMincho" w:hAnsi="MS PMincho"/>
                <w:spacing w:val="0"/>
              </w:rPr>
              <w:t>Concrete results</w:t>
            </w:r>
            <w:r w:rsidRPr="005927ED">
              <w:rPr>
                <w:rFonts w:ascii="MS PMincho" w:eastAsia="MS PMincho" w:hAnsi="MS PMincho" w:hint="eastAsia"/>
                <w:spacing w:val="0"/>
              </w:rPr>
              <w:t>】</w:t>
            </w:r>
          </w:p>
          <w:p w14:paraId="0EE0A945" w14:textId="73614845" w:rsidR="00596D90" w:rsidRDefault="00C13F4C" w:rsidP="005A04CE">
            <w:pPr>
              <w:pStyle w:val="a"/>
              <w:wordWrap/>
              <w:spacing w:line="288" w:lineRule="atLeast"/>
              <w:rPr>
                <w:rFonts w:ascii="MS PMincho" w:eastAsia="MS PMincho" w:hAnsi="MS PMincho"/>
                <w:spacing w:val="0"/>
              </w:rPr>
            </w:pPr>
            <w:r w:rsidRPr="00C13F4C">
              <w:rPr>
                <w:rFonts w:ascii="MS PMincho" w:eastAsia="MS PMincho" w:hAnsi="MS PMincho"/>
                <w:spacing w:val="0"/>
              </w:rPr>
              <w:t>Publication</w:t>
            </w:r>
            <w:r w:rsidR="005D16C3">
              <w:rPr>
                <w:rFonts w:ascii="MS PMincho" w:eastAsia="MS PMincho" w:hAnsi="MS PMincho"/>
                <w:spacing w:val="0"/>
              </w:rPr>
              <w:t>s:</w:t>
            </w:r>
          </w:p>
          <w:p w14:paraId="0D979FD0" w14:textId="77777777" w:rsidR="00C6255D" w:rsidRPr="005927ED" w:rsidRDefault="00C6255D" w:rsidP="005A04CE">
            <w:pPr>
              <w:pStyle w:val="a"/>
              <w:wordWrap/>
              <w:spacing w:line="288" w:lineRule="atLeast"/>
              <w:rPr>
                <w:rFonts w:ascii="MS PMincho" w:eastAsia="MS PMincho" w:hAnsi="MS PMincho"/>
                <w:spacing w:val="0"/>
              </w:rPr>
            </w:pPr>
          </w:p>
          <w:p w14:paraId="5BCA6966" w14:textId="537536DE" w:rsidR="005D16C3" w:rsidRDefault="00CC716C" w:rsidP="005D16C3">
            <w:pPr>
              <w:pStyle w:val="a"/>
              <w:wordWrap/>
              <w:spacing w:line="288" w:lineRule="atLeast"/>
              <w:rPr>
                <w:rFonts w:ascii="MS PMincho" w:eastAsia="MS PMincho" w:hAnsi="MS PMincho"/>
              </w:rPr>
            </w:pPr>
            <w:r w:rsidRPr="00CC716C">
              <w:rPr>
                <w:rFonts w:ascii="MS PMincho" w:eastAsia="MS PMincho" w:hAnsi="MS PMincho"/>
              </w:rPr>
              <w:t>J. Gubicza, K. Máthis, P. Nagy, P. Jenei, Z. Hegedűs, A. Farkas, Zs. Beke, J. Vesely, S. Inoue, D. Drozdenko, Y. Kawamura, Evolution of microstructure during tension of a rapidly solidified ribbon consolidated Mg-Ca-Y-Zn-Mn alloy: an in-situ synchrotron X-ray diffraction study, J. Mater. Sci. 60 (2025) 25679–25694.</w:t>
            </w:r>
          </w:p>
          <w:p w14:paraId="2FDD5AB1" w14:textId="77777777" w:rsidR="00CC716C" w:rsidRDefault="00CC716C" w:rsidP="005D16C3">
            <w:pPr>
              <w:pStyle w:val="a"/>
              <w:wordWrap/>
              <w:spacing w:line="288" w:lineRule="atLeast"/>
              <w:rPr>
                <w:rFonts w:ascii="MS PMincho" w:eastAsia="MS PMincho" w:hAnsi="MS PMincho"/>
              </w:rPr>
            </w:pPr>
          </w:p>
          <w:p w14:paraId="7934864E" w14:textId="5CD2D61F" w:rsidR="00CC716C" w:rsidRDefault="00C6255D" w:rsidP="005D16C3">
            <w:pPr>
              <w:pStyle w:val="a"/>
              <w:wordWrap/>
              <w:spacing w:line="288" w:lineRule="atLeast"/>
              <w:rPr>
                <w:rFonts w:ascii="MS PMincho" w:eastAsia="MS PMincho" w:hAnsi="MS PMincho"/>
              </w:rPr>
            </w:pPr>
            <w:r w:rsidRPr="00C6255D">
              <w:rPr>
                <w:rFonts w:ascii="MS PMincho" w:eastAsia="MS PMincho" w:hAnsi="MS PMincho"/>
              </w:rPr>
              <w:t>A. Farkas, G. Farkas, P. Dobron, J .Gubicza, P. Nagy, Zs. Beke, S. Inoue, Y. Kawamura, K. Máthis, D. Drozdenko, Time-resolved analysis of the dynamics of deformation mechanisms in low-alloyed rapidly solidified Mg-Zn-Y-Al alloy, J. Magnesium and Alloys (2026) accepted.</w:t>
            </w:r>
          </w:p>
          <w:p w14:paraId="51BF745B" w14:textId="77777777" w:rsidR="00CC716C" w:rsidRDefault="00CC716C" w:rsidP="005D16C3">
            <w:pPr>
              <w:pStyle w:val="a"/>
              <w:wordWrap/>
              <w:spacing w:line="288" w:lineRule="atLeast"/>
              <w:rPr>
                <w:rFonts w:ascii="MS PMincho" w:eastAsia="MS PMincho" w:hAnsi="MS PMincho"/>
              </w:rPr>
            </w:pPr>
          </w:p>
          <w:p w14:paraId="2B1D7F3D" w14:textId="1F6D49C4" w:rsidR="00596D90" w:rsidRPr="005927ED" w:rsidRDefault="00CC716C" w:rsidP="00C6255D">
            <w:pPr>
              <w:pStyle w:val="a"/>
              <w:wordWrap/>
              <w:spacing w:line="288" w:lineRule="atLeast"/>
              <w:rPr>
                <w:rFonts w:ascii="MS PMincho" w:eastAsia="MS PMincho" w:hAnsi="MS PMincho"/>
              </w:rPr>
            </w:pPr>
            <w:r w:rsidRPr="00CC716C">
              <w:rPr>
                <w:rFonts w:ascii="MS PMincho" w:eastAsia="MS PMincho" w:hAnsi="MS PMincho"/>
              </w:rPr>
              <w:t>J. Gubicza, Strength-ductility synergy: an incorrectly used term in materials science, Acta Metallurgica Slovaca 31 (2025) 64-65.</w:t>
            </w:r>
          </w:p>
        </w:tc>
      </w:tr>
      <w:tr w:rsidR="00A16AEA" w:rsidRPr="00E11E3A" w14:paraId="23E04DAF" w14:textId="77777777" w:rsidTr="00A16AEA">
        <w:tblPrEx>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left w:w="52" w:type="dxa"/>
            <w:right w:w="52" w:type="dxa"/>
          </w:tblCellMar>
        </w:tblPrEx>
        <w:trPr>
          <w:trHeight w:val="1063"/>
          <w:jc w:val="center"/>
        </w:trPr>
        <w:tc>
          <w:tcPr>
            <w:tcW w:w="9438" w:type="dxa"/>
            <w:gridSpan w:val="6"/>
          </w:tcPr>
          <w:p w14:paraId="7EA565ED" w14:textId="3C08D507" w:rsidR="00A16AEA" w:rsidRPr="0071088A" w:rsidRDefault="00C13F4C" w:rsidP="005A04CE">
            <w:pPr>
              <w:pStyle w:val="a"/>
              <w:wordWrap/>
              <w:rPr>
                <w:rFonts w:ascii="MS PMincho" w:eastAsia="MS PMincho" w:hAnsi="MS PMincho"/>
                <w:b/>
                <w:bCs/>
                <w:spacing w:val="0"/>
              </w:rPr>
            </w:pPr>
            <w:r w:rsidRPr="00C13F4C">
              <w:rPr>
                <w:rFonts w:ascii="MS PMincho" w:eastAsia="MS PMincho" w:hAnsi="MS PMincho"/>
                <w:b/>
                <w:bCs/>
                <w:spacing w:val="0"/>
              </w:rPr>
              <w:lastRenderedPageBreak/>
              <w:t>Notes</w:t>
            </w:r>
          </w:p>
          <w:p w14:paraId="1B4041C0" w14:textId="6A0C6F02" w:rsidR="00A16AEA" w:rsidRPr="005927ED" w:rsidRDefault="00A16AEA" w:rsidP="00D024DD">
            <w:pPr>
              <w:pStyle w:val="a"/>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024DD">
              <w:rPr>
                <w:rFonts w:ascii="MS PMincho" w:eastAsia="MS PMincho" w:hAnsi="MS PMincho"/>
                <w:spacing w:val="0"/>
                <w:sz w:val="20"/>
                <w:szCs w:val="20"/>
              </w:rPr>
              <w:t>P</w:t>
            </w:r>
            <w:r w:rsidR="00D024DD" w:rsidRPr="00D024DD">
              <w:rPr>
                <w:rFonts w:ascii="MS PMincho" w:eastAsia="MS PMincho" w:hAnsi="MS PMincho"/>
                <w:spacing w:val="0"/>
                <w:sz w:val="20"/>
                <w:szCs w:val="20"/>
              </w:rPr>
              <w:t xml:space="preserve">lease use the form and submit </w:t>
            </w:r>
            <w:r w:rsidR="00DE4412" w:rsidRPr="00DE4412">
              <w:rPr>
                <w:rFonts w:ascii="MS PMincho" w:eastAsia="MS PMincho" w:hAnsi="MS PMincho"/>
                <w:spacing w:val="0"/>
                <w:sz w:val="20"/>
                <w:szCs w:val="20"/>
              </w:rPr>
              <w:t>to the URL provided in the email</w:t>
            </w:r>
            <w:r w:rsidR="00DB4924" w:rsidRPr="00DB4924">
              <w:rPr>
                <w:rFonts w:ascii="MS PMincho" w:eastAsia="MS PMincho" w:hAnsi="MS PMincho"/>
                <w:spacing w:val="0"/>
                <w:sz w:val="20"/>
                <w:szCs w:val="20"/>
              </w:rPr>
              <w:t xml:space="preserve"> by Friday, </w:t>
            </w:r>
            <w:r w:rsidR="00DE4412">
              <w:rPr>
                <w:rFonts w:ascii="MS PMincho" w:eastAsia="MS PMincho" w:hAnsi="MS PMincho" w:hint="eastAsia"/>
                <w:spacing w:val="0"/>
                <w:sz w:val="20"/>
                <w:szCs w:val="20"/>
              </w:rPr>
              <w:t>May</w:t>
            </w:r>
            <w:r w:rsidR="00DB4924" w:rsidRPr="00DB4924">
              <w:rPr>
                <w:rFonts w:ascii="MS PMincho" w:eastAsia="MS PMincho" w:hAnsi="MS PMincho"/>
                <w:spacing w:val="0"/>
                <w:sz w:val="20"/>
                <w:szCs w:val="20"/>
              </w:rPr>
              <w:t xml:space="preserve"> </w:t>
            </w:r>
            <w:r w:rsidR="00DE4412">
              <w:rPr>
                <w:rFonts w:ascii="MS PMincho" w:eastAsia="MS PMincho" w:hAnsi="MS PMincho" w:hint="eastAsia"/>
                <w:spacing w:val="0"/>
                <w:sz w:val="20"/>
                <w:szCs w:val="20"/>
              </w:rPr>
              <w:t>1</w:t>
            </w:r>
            <w:r w:rsidR="00F757B9">
              <w:rPr>
                <w:rFonts w:ascii="MS PMincho" w:eastAsia="MS PMincho" w:hAnsi="MS PMincho" w:hint="eastAsia"/>
                <w:spacing w:val="0"/>
                <w:sz w:val="20"/>
                <w:szCs w:val="20"/>
              </w:rPr>
              <w:t>5</w:t>
            </w:r>
            <w:r w:rsidR="00DB4924" w:rsidRPr="00DB4924">
              <w:rPr>
                <w:rFonts w:ascii="MS PMincho" w:eastAsia="MS PMincho" w:hAnsi="MS PMincho"/>
                <w:spacing w:val="0"/>
                <w:sz w:val="20"/>
                <w:szCs w:val="20"/>
              </w:rPr>
              <w:t>, 20</w:t>
            </w:r>
            <w:r w:rsidR="00011289">
              <w:rPr>
                <w:rFonts w:ascii="MS PMincho" w:eastAsia="MS PMincho" w:hAnsi="MS PMincho" w:hint="eastAsia"/>
                <w:spacing w:val="0"/>
                <w:sz w:val="20"/>
                <w:szCs w:val="20"/>
              </w:rPr>
              <w:t>2</w:t>
            </w:r>
            <w:r w:rsidR="00F757B9">
              <w:rPr>
                <w:rFonts w:ascii="MS PMincho" w:eastAsia="MS PMincho" w:hAnsi="MS PMincho" w:hint="eastAsia"/>
                <w:spacing w:val="0"/>
                <w:sz w:val="20"/>
                <w:szCs w:val="20"/>
              </w:rPr>
              <w:t>6</w:t>
            </w:r>
            <w:r w:rsidR="00DB4924">
              <w:rPr>
                <w:rFonts w:ascii="MS PMincho" w:eastAsia="MS PMincho" w:hAnsi="MS PMincho" w:hint="eastAsia"/>
                <w:spacing w:val="0"/>
                <w:sz w:val="20"/>
                <w:szCs w:val="20"/>
              </w:rPr>
              <w:t>.</w:t>
            </w:r>
          </w:p>
          <w:p w14:paraId="1F49EC76" w14:textId="56A4BEF8" w:rsidR="00A16AEA" w:rsidRPr="005927ED" w:rsidRDefault="00A16AEA" w:rsidP="005A04CE">
            <w:pPr>
              <w:pStyle w:val="a"/>
              <w:wordWrap/>
              <w:spacing w:line="200" w:lineRule="exact"/>
              <w:ind w:left="148" w:hangingChars="74" w:hanging="148"/>
              <w:rPr>
                <w:rFonts w:ascii="MS PMincho" w:eastAsia="MS PMincho" w:hAnsi="MS PMincho"/>
                <w:spacing w:val="0"/>
                <w:sz w:val="20"/>
                <w:szCs w:val="20"/>
              </w:rPr>
            </w:pPr>
            <w:r w:rsidRPr="005927ED">
              <w:rPr>
                <w:rFonts w:ascii="MS PMincho" w:eastAsia="MS PMincho" w:hAnsi="MS PMincho" w:hint="eastAsia"/>
                <w:spacing w:val="0"/>
                <w:sz w:val="20"/>
                <w:szCs w:val="20"/>
              </w:rPr>
              <w:t>・</w:t>
            </w:r>
            <w:r w:rsidR="00DB4924" w:rsidRPr="00DB4924">
              <w:rPr>
                <w:rFonts w:ascii="MS PMincho" w:eastAsia="MS PMincho" w:hAnsi="MS PMincho"/>
                <w:spacing w:val="0"/>
                <w:sz w:val="20"/>
                <w:szCs w:val="20"/>
              </w:rPr>
              <w:t>The joint research report will be published in the ILM joint research report (annual report) and will be available on our website. Therefore, please prepare the contents for public release accordingly.</w:t>
            </w:r>
          </w:p>
          <w:p w14:paraId="5A770AA5" w14:textId="555F6482" w:rsidR="00A16AEA" w:rsidRPr="005927ED" w:rsidRDefault="00A16AEA" w:rsidP="005A04CE">
            <w:pPr>
              <w:pStyle w:val="a"/>
              <w:wordWrap/>
              <w:spacing w:line="200" w:lineRule="exact"/>
              <w:ind w:left="148" w:hangingChars="74" w:hanging="148"/>
              <w:rPr>
                <w:rFonts w:ascii="MS PMincho" w:eastAsia="MS PMincho" w:hAnsi="MS PMincho"/>
                <w:spacing w:val="0"/>
                <w:sz w:val="18"/>
              </w:rPr>
            </w:pPr>
            <w:r w:rsidRPr="005927ED">
              <w:rPr>
                <w:rFonts w:ascii="MS PMincho" w:eastAsia="MS PMincho" w:hAnsi="MS PMincho" w:hint="eastAsia"/>
                <w:spacing w:val="0"/>
                <w:sz w:val="20"/>
                <w:szCs w:val="20"/>
              </w:rPr>
              <w:t>・</w:t>
            </w:r>
            <w:r w:rsidR="00DB4924" w:rsidRPr="00DB4924">
              <w:rPr>
                <w:rFonts w:ascii="MS PMincho" w:eastAsia="MS PMincho" w:hAnsi="MS PMincho"/>
                <w:sz w:val="20"/>
                <w:szCs w:val="20"/>
              </w:rPr>
              <w:t>Please add pages, if needed.</w:t>
            </w:r>
          </w:p>
        </w:tc>
      </w:tr>
    </w:tbl>
    <w:p w14:paraId="66D586C8" w14:textId="1027902E" w:rsidR="008915C0" w:rsidRPr="008915C0" w:rsidRDefault="008915C0" w:rsidP="008915C0">
      <w:pPr>
        <w:rPr>
          <w:sz w:val="24"/>
          <w:szCs w:val="28"/>
        </w:rPr>
      </w:pPr>
    </w:p>
    <w:sectPr w:rsidR="008915C0" w:rsidRPr="008915C0" w:rsidSect="003E7B5E">
      <w:headerReference w:type="default" r:id="rId8"/>
      <w:footerReference w:type="default" r:id="rId9"/>
      <w:pgSz w:w="11907" w:h="16840" w:code="9"/>
      <w:pgMar w:top="510" w:right="1134" w:bottom="295"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A6847" w14:textId="77777777" w:rsidR="002F0514" w:rsidRDefault="002F0514">
      <w:r>
        <w:separator/>
      </w:r>
    </w:p>
  </w:endnote>
  <w:endnote w:type="continuationSeparator" w:id="0">
    <w:p w14:paraId="29EEBDB3" w14:textId="77777777" w:rsidR="002F0514" w:rsidRDefault="002F0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EE"/>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PMincho">
    <w:charset w:val="80"/>
    <w:family w:val="roman"/>
    <w:pitch w:val="variable"/>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MS PGothic">
    <w:altName w:val="ＭＳ Ｐゴシック"/>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C9D1" w14:textId="77777777" w:rsidR="00021E4D" w:rsidRDefault="00021E4D">
    <w:pPr>
      <w:pStyle w:val="a"/>
      <w:spacing w:line="240" w:lineRule="auto"/>
      <w:jc w:val="center"/>
      <w:rPr>
        <w:rFonts w:ascii="MS PGothic" w:eastAsia="MS PGothic" w:hAnsi="MS PGothic"/>
        <w:spacing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4F6C7" w14:textId="77777777" w:rsidR="002F0514" w:rsidRDefault="002F0514">
      <w:r>
        <w:separator/>
      </w:r>
    </w:p>
  </w:footnote>
  <w:footnote w:type="continuationSeparator" w:id="0">
    <w:p w14:paraId="1F82FF4D" w14:textId="77777777" w:rsidR="002F0514" w:rsidRDefault="002F0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5FA9" w14:textId="366BD269" w:rsidR="00DD5F5D" w:rsidRDefault="0087731F" w:rsidP="00DD5F5D">
    <w:pPr>
      <w:pStyle w:val="lfej"/>
      <w:jc w:val="right"/>
    </w:pPr>
    <w:r>
      <w:rPr>
        <w:rFonts w:hint="eastAsia"/>
      </w:rPr>
      <w:t>（</w:t>
    </w:r>
    <w:r w:rsidR="00A16AEA" w:rsidRPr="00DB4924">
      <w:rPr>
        <w:rFonts w:hint="eastAsia"/>
        <w:szCs w:val="21"/>
      </w:rPr>
      <w:t>ILM</w:t>
    </w:r>
    <w:r w:rsidR="00DB4924" w:rsidRPr="00DB4924">
      <w:rPr>
        <w:szCs w:val="21"/>
      </w:rPr>
      <w:t xml:space="preserve"> Joint Usage/Research</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02E96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7532C1"/>
    <w:multiLevelType w:val="hybridMultilevel"/>
    <w:tmpl w:val="5BC28F42"/>
    <w:lvl w:ilvl="0" w:tplc="80A48A8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BE146C0"/>
    <w:multiLevelType w:val="hybridMultilevel"/>
    <w:tmpl w:val="C17AF9FA"/>
    <w:lvl w:ilvl="0" w:tplc="C1D0CCBC">
      <w:start w:val="2"/>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7CA3A3D"/>
    <w:multiLevelType w:val="hybridMultilevel"/>
    <w:tmpl w:val="E5E6479A"/>
    <w:lvl w:ilvl="0" w:tplc="8280E8EA">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BAE6DD2"/>
    <w:multiLevelType w:val="hybridMultilevel"/>
    <w:tmpl w:val="3F68D0CC"/>
    <w:lvl w:ilvl="0" w:tplc="664C02E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2CE500F7"/>
    <w:multiLevelType w:val="multilevel"/>
    <w:tmpl w:val="000ACC8A"/>
    <w:lvl w:ilvl="0">
      <w:start w:val="3"/>
      <w:numFmt w:val="decimal"/>
      <w:lvlText w:val="(%1)"/>
      <w:lvlJc w:val="left"/>
      <w:pPr>
        <w:tabs>
          <w:tab w:val="num" w:pos="450"/>
        </w:tabs>
        <w:ind w:left="450" w:hanging="450"/>
      </w:pPr>
      <w:rPr>
        <w:rFonts w:ascii="MS Gothic"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E022C71"/>
    <w:multiLevelType w:val="hybridMultilevel"/>
    <w:tmpl w:val="706A34CE"/>
    <w:lvl w:ilvl="0" w:tplc="4478FE32">
      <w:start w:val="2"/>
      <w:numFmt w:val="decimalFullWidth"/>
      <w:lvlText w:val="%1．"/>
      <w:lvlJc w:val="left"/>
      <w:pPr>
        <w:ind w:left="700" w:hanging="480"/>
      </w:pPr>
      <w:rPr>
        <w:rFonts w:hint="default"/>
        <w:lang w:val="en-US"/>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C7A485A"/>
    <w:multiLevelType w:val="hybridMultilevel"/>
    <w:tmpl w:val="000ACC8A"/>
    <w:lvl w:ilvl="0" w:tplc="4738ABEC">
      <w:start w:val="3"/>
      <w:numFmt w:val="decimal"/>
      <w:lvlText w:val="(%1)"/>
      <w:lvlJc w:val="left"/>
      <w:pPr>
        <w:tabs>
          <w:tab w:val="num" w:pos="450"/>
        </w:tabs>
        <w:ind w:left="450" w:hanging="450"/>
      </w:pPr>
      <w:rPr>
        <w:rFonts w:ascii="MS Gothic"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9BB3BE2"/>
    <w:multiLevelType w:val="hybridMultilevel"/>
    <w:tmpl w:val="179AE0A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763914690">
    <w:abstractNumId w:val="7"/>
  </w:num>
  <w:num w:numId="2" w16cid:durableId="214128143">
    <w:abstractNumId w:val="2"/>
  </w:num>
  <w:num w:numId="3" w16cid:durableId="1300650422">
    <w:abstractNumId w:val="5"/>
  </w:num>
  <w:num w:numId="4" w16cid:durableId="1631933015">
    <w:abstractNumId w:val="1"/>
  </w:num>
  <w:num w:numId="5" w16cid:durableId="687681783">
    <w:abstractNumId w:val="3"/>
  </w:num>
  <w:num w:numId="6" w16cid:durableId="621157615">
    <w:abstractNumId w:val="6"/>
  </w:num>
  <w:num w:numId="7" w16cid:durableId="721830794">
    <w:abstractNumId w:val="4"/>
  </w:num>
  <w:num w:numId="8" w16cid:durableId="906916611">
    <w:abstractNumId w:val="0"/>
  </w:num>
  <w:num w:numId="9" w16cid:durableId="14793015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7D5"/>
    <w:rsid w:val="000011CE"/>
    <w:rsid w:val="00010D74"/>
    <w:rsid w:val="00011289"/>
    <w:rsid w:val="00015763"/>
    <w:rsid w:val="00015DC1"/>
    <w:rsid w:val="000179FF"/>
    <w:rsid w:val="00020D53"/>
    <w:rsid w:val="00021E22"/>
    <w:rsid w:val="00021E4D"/>
    <w:rsid w:val="0002543E"/>
    <w:rsid w:val="00033F03"/>
    <w:rsid w:val="000425F5"/>
    <w:rsid w:val="00047318"/>
    <w:rsid w:val="00060691"/>
    <w:rsid w:val="000622F7"/>
    <w:rsid w:val="00065140"/>
    <w:rsid w:val="00072765"/>
    <w:rsid w:val="000825FF"/>
    <w:rsid w:val="00084C53"/>
    <w:rsid w:val="00095FB6"/>
    <w:rsid w:val="000A7A3D"/>
    <w:rsid w:val="000B09FE"/>
    <w:rsid w:val="000C350E"/>
    <w:rsid w:val="000F02B2"/>
    <w:rsid w:val="000F07D5"/>
    <w:rsid w:val="00110ABF"/>
    <w:rsid w:val="0011423D"/>
    <w:rsid w:val="00115A06"/>
    <w:rsid w:val="00115C63"/>
    <w:rsid w:val="00127325"/>
    <w:rsid w:val="0014537D"/>
    <w:rsid w:val="001519A9"/>
    <w:rsid w:val="00160C01"/>
    <w:rsid w:val="00174206"/>
    <w:rsid w:val="0017573A"/>
    <w:rsid w:val="0018048D"/>
    <w:rsid w:val="00187075"/>
    <w:rsid w:val="001A4BCB"/>
    <w:rsid w:val="001A7C6E"/>
    <w:rsid w:val="001D1C8E"/>
    <w:rsid w:val="001F6B85"/>
    <w:rsid w:val="00206486"/>
    <w:rsid w:val="002074CB"/>
    <w:rsid w:val="00213778"/>
    <w:rsid w:val="0022133D"/>
    <w:rsid w:val="00224AEB"/>
    <w:rsid w:val="0022623D"/>
    <w:rsid w:val="00262D13"/>
    <w:rsid w:val="00262F90"/>
    <w:rsid w:val="00265C8B"/>
    <w:rsid w:val="00265F70"/>
    <w:rsid w:val="00267D7A"/>
    <w:rsid w:val="002716E4"/>
    <w:rsid w:val="00281E94"/>
    <w:rsid w:val="0028209E"/>
    <w:rsid w:val="0028356C"/>
    <w:rsid w:val="002848D8"/>
    <w:rsid w:val="002871DE"/>
    <w:rsid w:val="00292471"/>
    <w:rsid w:val="002A21F7"/>
    <w:rsid w:val="002B2D1A"/>
    <w:rsid w:val="002B747F"/>
    <w:rsid w:val="002D7278"/>
    <w:rsid w:val="002E2DFF"/>
    <w:rsid w:val="002F0514"/>
    <w:rsid w:val="002F1D8B"/>
    <w:rsid w:val="00302B11"/>
    <w:rsid w:val="003050D7"/>
    <w:rsid w:val="003135D6"/>
    <w:rsid w:val="0031654D"/>
    <w:rsid w:val="00341201"/>
    <w:rsid w:val="00347894"/>
    <w:rsid w:val="00361542"/>
    <w:rsid w:val="00362F56"/>
    <w:rsid w:val="003709E8"/>
    <w:rsid w:val="00376033"/>
    <w:rsid w:val="003808DB"/>
    <w:rsid w:val="003921A8"/>
    <w:rsid w:val="00395960"/>
    <w:rsid w:val="00396C5F"/>
    <w:rsid w:val="003B1E8B"/>
    <w:rsid w:val="003B415C"/>
    <w:rsid w:val="003C2534"/>
    <w:rsid w:val="003C3134"/>
    <w:rsid w:val="003D0596"/>
    <w:rsid w:val="003E4667"/>
    <w:rsid w:val="003E7B5E"/>
    <w:rsid w:val="003F58CB"/>
    <w:rsid w:val="003F5E5B"/>
    <w:rsid w:val="0040069F"/>
    <w:rsid w:val="004024A8"/>
    <w:rsid w:val="00406AD6"/>
    <w:rsid w:val="00411B8E"/>
    <w:rsid w:val="004236F7"/>
    <w:rsid w:val="00430ED2"/>
    <w:rsid w:val="004335B3"/>
    <w:rsid w:val="00443DAF"/>
    <w:rsid w:val="0046310B"/>
    <w:rsid w:val="004745EE"/>
    <w:rsid w:val="00483EAB"/>
    <w:rsid w:val="00487772"/>
    <w:rsid w:val="00490586"/>
    <w:rsid w:val="004911AA"/>
    <w:rsid w:val="0049502D"/>
    <w:rsid w:val="004A4239"/>
    <w:rsid w:val="004A509E"/>
    <w:rsid w:val="004B2614"/>
    <w:rsid w:val="004B3041"/>
    <w:rsid w:val="004B3791"/>
    <w:rsid w:val="004B442B"/>
    <w:rsid w:val="004B5389"/>
    <w:rsid w:val="004B78D9"/>
    <w:rsid w:val="004C016F"/>
    <w:rsid w:val="004C2540"/>
    <w:rsid w:val="004D5C34"/>
    <w:rsid w:val="004E1509"/>
    <w:rsid w:val="005060E2"/>
    <w:rsid w:val="005062EA"/>
    <w:rsid w:val="00522D31"/>
    <w:rsid w:val="00541B78"/>
    <w:rsid w:val="00543EB3"/>
    <w:rsid w:val="00555C1D"/>
    <w:rsid w:val="00556112"/>
    <w:rsid w:val="005665CC"/>
    <w:rsid w:val="00570FF9"/>
    <w:rsid w:val="005866C8"/>
    <w:rsid w:val="005927ED"/>
    <w:rsid w:val="00596D90"/>
    <w:rsid w:val="005A04CE"/>
    <w:rsid w:val="005B0D1E"/>
    <w:rsid w:val="005C15A9"/>
    <w:rsid w:val="005D16C3"/>
    <w:rsid w:val="005E3E12"/>
    <w:rsid w:val="005F7A9B"/>
    <w:rsid w:val="006072A7"/>
    <w:rsid w:val="00636A92"/>
    <w:rsid w:val="00657E4A"/>
    <w:rsid w:val="00663CBD"/>
    <w:rsid w:val="00670540"/>
    <w:rsid w:val="00677590"/>
    <w:rsid w:val="00691043"/>
    <w:rsid w:val="0069343D"/>
    <w:rsid w:val="00694C20"/>
    <w:rsid w:val="006A41DE"/>
    <w:rsid w:val="006B0B4F"/>
    <w:rsid w:val="006C3289"/>
    <w:rsid w:val="006D49C0"/>
    <w:rsid w:val="006E1155"/>
    <w:rsid w:val="006F4346"/>
    <w:rsid w:val="00700B53"/>
    <w:rsid w:val="00700CE5"/>
    <w:rsid w:val="0070455B"/>
    <w:rsid w:val="00706F69"/>
    <w:rsid w:val="0071088A"/>
    <w:rsid w:val="00726929"/>
    <w:rsid w:val="0074560D"/>
    <w:rsid w:val="007639CD"/>
    <w:rsid w:val="007725D9"/>
    <w:rsid w:val="007A2C02"/>
    <w:rsid w:val="007A6950"/>
    <w:rsid w:val="007A7264"/>
    <w:rsid w:val="007B652D"/>
    <w:rsid w:val="007C4342"/>
    <w:rsid w:val="007D19CD"/>
    <w:rsid w:val="008106CE"/>
    <w:rsid w:val="0082478C"/>
    <w:rsid w:val="0082488C"/>
    <w:rsid w:val="0082670D"/>
    <w:rsid w:val="00835366"/>
    <w:rsid w:val="008363C6"/>
    <w:rsid w:val="00837F72"/>
    <w:rsid w:val="008463DA"/>
    <w:rsid w:val="00846FB5"/>
    <w:rsid w:val="00855EFA"/>
    <w:rsid w:val="0085635E"/>
    <w:rsid w:val="00864BA7"/>
    <w:rsid w:val="00870BE9"/>
    <w:rsid w:val="00876B94"/>
    <w:rsid w:val="008770E0"/>
    <w:rsid w:val="0087731F"/>
    <w:rsid w:val="00886F13"/>
    <w:rsid w:val="008915C0"/>
    <w:rsid w:val="008B29F3"/>
    <w:rsid w:val="008B5755"/>
    <w:rsid w:val="008D165D"/>
    <w:rsid w:val="008D5347"/>
    <w:rsid w:val="008D7C8A"/>
    <w:rsid w:val="008E6660"/>
    <w:rsid w:val="008E713D"/>
    <w:rsid w:val="008E7C24"/>
    <w:rsid w:val="008F5DD4"/>
    <w:rsid w:val="00903249"/>
    <w:rsid w:val="00904012"/>
    <w:rsid w:val="0090662A"/>
    <w:rsid w:val="00927E4C"/>
    <w:rsid w:val="00940197"/>
    <w:rsid w:val="009534DB"/>
    <w:rsid w:val="00954345"/>
    <w:rsid w:val="009637A5"/>
    <w:rsid w:val="0098375D"/>
    <w:rsid w:val="009C69DB"/>
    <w:rsid w:val="009C7D2B"/>
    <w:rsid w:val="009D0FAB"/>
    <w:rsid w:val="009D1A94"/>
    <w:rsid w:val="009E7330"/>
    <w:rsid w:val="00A047CF"/>
    <w:rsid w:val="00A058C8"/>
    <w:rsid w:val="00A074A5"/>
    <w:rsid w:val="00A16AEA"/>
    <w:rsid w:val="00A50EBB"/>
    <w:rsid w:val="00A55677"/>
    <w:rsid w:val="00A56A37"/>
    <w:rsid w:val="00A604E0"/>
    <w:rsid w:val="00A61C3C"/>
    <w:rsid w:val="00A755D9"/>
    <w:rsid w:val="00A818CD"/>
    <w:rsid w:val="00A821C7"/>
    <w:rsid w:val="00A85CDB"/>
    <w:rsid w:val="00A97EBC"/>
    <w:rsid w:val="00AA1B3A"/>
    <w:rsid w:val="00AB11BE"/>
    <w:rsid w:val="00AC7935"/>
    <w:rsid w:val="00AF2175"/>
    <w:rsid w:val="00AF2F5D"/>
    <w:rsid w:val="00AF6EF7"/>
    <w:rsid w:val="00B40432"/>
    <w:rsid w:val="00B4528B"/>
    <w:rsid w:val="00B45404"/>
    <w:rsid w:val="00B54F0D"/>
    <w:rsid w:val="00B678E9"/>
    <w:rsid w:val="00B71C36"/>
    <w:rsid w:val="00B7757C"/>
    <w:rsid w:val="00B77734"/>
    <w:rsid w:val="00B867AE"/>
    <w:rsid w:val="00B87A87"/>
    <w:rsid w:val="00B9237F"/>
    <w:rsid w:val="00B960E7"/>
    <w:rsid w:val="00B96D17"/>
    <w:rsid w:val="00BB119D"/>
    <w:rsid w:val="00BB1248"/>
    <w:rsid w:val="00BB3CAA"/>
    <w:rsid w:val="00BB710D"/>
    <w:rsid w:val="00BC052A"/>
    <w:rsid w:val="00BE69C3"/>
    <w:rsid w:val="00BE6C3E"/>
    <w:rsid w:val="00BF59B3"/>
    <w:rsid w:val="00C13F4C"/>
    <w:rsid w:val="00C16201"/>
    <w:rsid w:val="00C31736"/>
    <w:rsid w:val="00C336BA"/>
    <w:rsid w:val="00C4373F"/>
    <w:rsid w:val="00C608C4"/>
    <w:rsid w:val="00C6198A"/>
    <w:rsid w:val="00C61FA7"/>
    <w:rsid w:val="00C6255D"/>
    <w:rsid w:val="00C75BA8"/>
    <w:rsid w:val="00C806F8"/>
    <w:rsid w:val="00C8773A"/>
    <w:rsid w:val="00C93DC4"/>
    <w:rsid w:val="00C94BC8"/>
    <w:rsid w:val="00CB631A"/>
    <w:rsid w:val="00CC2722"/>
    <w:rsid w:val="00CC3420"/>
    <w:rsid w:val="00CC716C"/>
    <w:rsid w:val="00CD30B0"/>
    <w:rsid w:val="00CD363D"/>
    <w:rsid w:val="00CD5A91"/>
    <w:rsid w:val="00CD6D9E"/>
    <w:rsid w:val="00CE285E"/>
    <w:rsid w:val="00CE43F0"/>
    <w:rsid w:val="00CF0215"/>
    <w:rsid w:val="00D024DD"/>
    <w:rsid w:val="00D25AF2"/>
    <w:rsid w:val="00D26A00"/>
    <w:rsid w:val="00D33219"/>
    <w:rsid w:val="00D5057F"/>
    <w:rsid w:val="00D50603"/>
    <w:rsid w:val="00D520B8"/>
    <w:rsid w:val="00D7048F"/>
    <w:rsid w:val="00D82B04"/>
    <w:rsid w:val="00D82C90"/>
    <w:rsid w:val="00D82DA2"/>
    <w:rsid w:val="00DA0032"/>
    <w:rsid w:val="00DA044E"/>
    <w:rsid w:val="00DB1B60"/>
    <w:rsid w:val="00DB4369"/>
    <w:rsid w:val="00DB4924"/>
    <w:rsid w:val="00DD0428"/>
    <w:rsid w:val="00DD5F5D"/>
    <w:rsid w:val="00DE4412"/>
    <w:rsid w:val="00DF4E75"/>
    <w:rsid w:val="00E0532A"/>
    <w:rsid w:val="00E152D1"/>
    <w:rsid w:val="00E31460"/>
    <w:rsid w:val="00E330E4"/>
    <w:rsid w:val="00E41F6F"/>
    <w:rsid w:val="00E442D8"/>
    <w:rsid w:val="00E6722A"/>
    <w:rsid w:val="00E7114C"/>
    <w:rsid w:val="00E878C2"/>
    <w:rsid w:val="00E96D99"/>
    <w:rsid w:val="00EA178E"/>
    <w:rsid w:val="00EA2364"/>
    <w:rsid w:val="00EA3DDE"/>
    <w:rsid w:val="00EB4063"/>
    <w:rsid w:val="00EC291F"/>
    <w:rsid w:val="00ED4F86"/>
    <w:rsid w:val="00ED71D6"/>
    <w:rsid w:val="00EE06CF"/>
    <w:rsid w:val="00F076DC"/>
    <w:rsid w:val="00F16AE6"/>
    <w:rsid w:val="00F3695C"/>
    <w:rsid w:val="00F56C63"/>
    <w:rsid w:val="00F757B9"/>
    <w:rsid w:val="00F76A1C"/>
    <w:rsid w:val="00F831D8"/>
    <w:rsid w:val="00F84B01"/>
    <w:rsid w:val="00F92C5E"/>
    <w:rsid w:val="00F93EFE"/>
    <w:rsid w:val="00F963DD"/>
    <w:rsid w:val="00FA0990"/>
    <w:rsid w:val="00FA0C83"/>
    <w:rsid w:val="00FA5486"/>
    <w:rsid w:val="00FB0736"/>
    <w:rsid w:val="00FB7893"/>
    <w:rsid w:val="00FC32B0"/>
    <w:rsid w:val="00FD38A8"/>
    <w:rsid w:val="00FE7BC2"/>
    <w:rsid w:val="00FF6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C7440A"/>
  <w14:defaultImageDpi w14:val="300"/>
  <w15:chartTrackingRefBased/>
  <w15:docId w15:val="{43E2B964-C8D3-4FE1-8A7F-287CBE96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596D90"/>
    <w:pPr>
      <w:widowControl w:val="0"/>
      <w:jc w:val="both"/>
    </w:pPr>
    <w:rPr>
      <w:kern w:val="2"/>
      <w:sz w:val="21"/>
      <w:szCs w:val="24"/>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
    <w:name w:val="エクセル"/>
    <w:pPr>
      <w:widowControl w:val="0"/>
      <w:wordWrap w:val="0"/>
      <w:autoSpaceDE w:val="0"/>
      <w:autoSpaceDN w:val="0"/>
      <w:adjustRightInd w:val="0"/>
      <w:spacing w:line="260" w:lineRule="exact"/>
      <w:jc w:val="both"/>
    </w:pPr>
    <w:rPr>
      <w:rFonts w:ascii="MS Gothic" w:eastAsia="MS Gothic" w:hAnsi="MS Gothic" w:cs="MS Gothic"/>
      <w:spacing w:val="-2"/>
      <w:sz w:val="22"/>
      <w:szCs w:val="22"/>
    </w:rPr>
  </w:style>
  <w:style w:type="paragraph" w:styleId="lfej">
    <w:name w:val="header"/>
    <w:basedOn w:val="Norml"/>
    <w:link w:val="lfejChar"/>
    <w:uiPriority w:val="99"/>
    <w:pPr>
      <w:tabs>
        <w:tab w:val="center" w:pos="4252"/>
        <w:tab w:val="right" w:pos="8504"/>
      </w:tabs>
      <w:snapToGrid w:val="0"/>
    </w:pPr>
  </w:style>
  <w:style w:type="paragraph" w:styleId="llb">
    <w:name w:val="footer"/>
    <w:basedOn w:val="Norml"/>
    <w:pPr>
      <w:tabs>
        <w:tab w:val="center" w:pos="4252"/>
        <w:tab w:val="right" w:pos="8504"/>
      </w:tabs>
      <w:snapToGrid w:val="0"/>
    </w:pPr>
  </w:style>
  <w:style w:type="character" w:styleId="Oldalszm">
    <w:name w:val="page number"/>
    <w:basedOn w:val="Bekezdsalapbettpusa"/>
  </w:style>
  <w:style w:type="paragraph" w:styleId="Buborkszveg">
    <w:name w:val="Balloon Text"/>
    <w:basedOn w:val="Norml"/>
    <w:semiHidden/>
    <w:rPr>
      <w:rFonts w:ascii="Arial" w:eastAsia="MS Gothic" w:hAnsi="Arial"/>
      <w:sz w:val="18"/>
      <w:szCs w:val="18"/>
    </w:rPr>
  </w:style>
  <w:style w:type="character" w:styleId="Jegyzethivatkozs">
    <w:name w:val="annotation reference"/>
    <w:semiHidden/>
    <w:rPr>
      <w:sz w:val="18"/>
      <w:szCs w:val="18"/>
    </w:rPr>
  </w:style>
  <w:style w:type="paragraph" w:styleId="Jegyzetszveg">
    <w:name w:val="annotation text"/>
    <w:basedOn w:val="Norml"/>
    <w:semiHidden/>
    <w:pPr>
      <w:jc w:val="left"/>
    </w:pPr>
  </w:style>
  <w:style w:type="paragraph" w:styleId="Megjegyzstrgya">
    <w:name w:val="annotation subject"/>
    <w:basedOn w:val="Jegyzetszveg"/>
    <w:next w:val="Jegyzetszveg"/>
    <w:semiHidden/>
    <w:rPr>
      <w:b/>
      <w:bCs/>
    </w:rPr>
  </w:style>
  <w:style w:type="paragraph" w:customStyle="1" w:styleId="91">
    <w:name w:val="表 (モノトーン)  91"/>
    <w:link w:val="9"/>
    <w:uiPriority w:val="1"/>
    <w:qFormat/>
    <w:rsid w:val="00E152D1"/>
    <w:rPr>
      <w:sz w:val="22"/>
      <w:szCs w:val="22"/>
    </w:rPr>
  </w:style>
  <w:style w:type="character" w:customStyle="1" w:styleId="9">
    <w:name w:val="表 (モノトーン)  9 (文字)"/>
    <w:link w:val="91"/>
    <w:uiPriority w:val="1"/>
    <w:rsid w:val="00E152D1"/>
    <w:rPr>
      <w:sz w:val="22"/>
      <w:szCs w:val="22"/>
      <w:lang w:bidi="ar-SA"/>
    </w:rPr>
  </w:style>
  <w:style w:type="character" w:styleId="Hiperhivatkozs">
    <w:name w:val="Hyperlink"/>
    <w:rsid w:val="00F963DD"/>
    <w:rPr>
      <w:color w:val="0000FF"/>
      <w:u w:val="single"/>
    </w:rPr>
  </w:style>
  <w:style w:type="character" w:customStyle="1" w:styleId="lfejChar">
    <w:name w:val="Élőfej Char"/>
    <w:link w:val="lfej"/>
    <w:uiPriority w:val="99"/>
    <w:rsid w:val="00DD5F5D"/>
    <w:rPr>
      <w:kern w:val="2"/>
      <w:sz w:val="21"/>
      <w:szCs w:val="24"/>
    </w:rPr>
  </w:style>
  <w:style w:type="table" w:styleId="Rcsostblzat">
    <w:name w:val="Table Grid"/>
    <w:basedOn w:val="Normltblzat"/>
    <w:rsid w:val="00001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F56C63"/>
    <w:pPr>
      <w:widowControl/>
      <w:spacing w:after="160" w:line="259" w:lineRule="auto"/>
      <w:ind w:left="720"/>
      <w:contextualSpacing/>
      <w:jc w:val="left"/>
    </w:pPr>
    <w:rPr>
      <w:rFonts w:asciiTheme="minorHAnsi" w:eastAsiaTheme="minorEastAsia" w:hAnsiTheme="minorHAnsi" w:cstheme="minorBidi"/>
      <w:kern w:val="0"/>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57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03A16-7E5A-40F9-8499-55F7F0B6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1074</Words>
  <Characters>6128</Characters>
  <Application>Microsoft Office Word</Application>
  <DocSecurity>0</DocSecurity>
  <Lines>51</Lines>
  <Paragraphs>14</Paragraphs>
  <ScaleCrop>false</ScaleCrop>
  <HeadingPairs>
    <vt:vector size="4" baseType="variant">
      <vt:variant>
        <vt:lpstr>Cím</vt:lpstr>
      </vt:variant>
      <vt:variant>
        <vt:i4>1</vt:i4>
      </vt:variant>
      <vt:variant>
        <vt:lpstr>タイトル</vt:lpstr>
      </vt:variant>
      <vt:variant>
        <vt:i4>1</vt:i4>
      </vt:variant>
    </vt:vector>
  </HeadingPairs>
  <TitlesOfParts>
    <vt:vector size="2" baseType="lpstr">
      <vt:lpstr>国際研究集会＜申請内容＞</vt:lpstr>
      <vt:lpstr>国際研究集会＜申請内容＞</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国際研究集会＜申請内容＞</dc:title>
  <dc:subject/>
  <dc:creator>独立行政法人日本学術振興会</dc:creator>
  <cp:keywords/>
  <cp:lastModifiedBy>Dr. Gubicza Jenő</cp:lastModifiedBy>
  <cp:revision>17</cp:revision>
  <cp:lastPrinted>2023-04-26T09:24:00Z</cp:lastPrinted>
  <dcterms:created xsi:type="dcterms:W3CDTF">2026-04-21T05:10:00Z</dcterms:created>
  <dcterms:modified xsi:type="dcterms:W3CDTF">2026-04-21T06:26:00Z</dcterms:modified>
</cp:coreProperties>
</file>